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22194" w14:textId="77777777" w:rsidR="003346D4" w:rsidRPr="003172B4" w:rsidRDefault="003346D4" w:rsidP="003346D4">
      <w:pPr>
        <w:autoSpaceDE w:val="0"/>
        <w:autoSpaceDN w:val="0"/>
        <w:adjustRightInd w:val="0"/>
        <w:jc w:val="center"/>
        <w:rPr>
          <w:b/>
          <w:bCs/>
          <w:smallCaps/>
          <w:sz w:val="33"/>
          <w:szCs w:val="33"/>
        </w:rPr>
      </w:pPr>
      <w:r w:rsidRPr="003172B4">
        <w:rPr>
          <w:b/>
          <w:bCs/>
          <w:smallCaps/>
          <w:sz w:val="33"/>
          <w:szCs w:val="33"/>
        </w:rPr>
        <w:t>INFORMATIVO STF</w:t>
      </w:r>
    </w:p>
    <w:p w14:paraId="5E0EF95D" w14:textId="77777777" w:rsidR="003346D4" w:rsidRPr="003172B4" w:rsidRDefault="003346D4" w:rsidP="00B20C84">
      <w:pPr>
        <w:pStyle w:val="Ttulo8"/>
        <w:tabs>
          <w:tab w:val="clear" w:pos="284"/>
        </w:tabs>
      </w:pPr>
    </w:p>
    <w:p w14:paraId="7F815360" w14:textId="57C7C823" w:rsidR="003346D4" w:rsidRPr="003172B4" w:rsidRDefault="003346D4" w:rsidP="00B20C84">
      <w:pPr>
        <w:pStyle w:val="Ttulo8"/>
        <w:tabs>
          <w:tab w:val="clear" w:pos="284"/>
        </w:tabs>
        <w:jc w:val="center"/>
      </w:pPr>
      <w:r w:rsidRPr="003172B4">
        <w:t xml:space="preserve">Nº </w:t>
      </w:r>
      <w:r w:rsidR="00E1725E">
        <w:t>1232</w:t>
      </w:r>
      <w:r w:rsidRPr="003172B4">
        <w:t>/202</w:t>
      </w:r>
      <w:r w:rsidR="00DA0B30">
        <w:t>6</w:t>
      </w:r>
    </w:p>
    <w:p w14:paraId="1F688DFA" w14:textId="77777777" w:rsidR="003346D4" w:rsidRPr="003172B4" w:rsidRDefault="003346D4" w:rsidP="003346D4"/>
    <w:p w14:paraId="091B6C4B" w14:textId="737FB54B" w:rsidR="003346D4" w:rsidRPr="003172B4" w:rsidRDefault="00F80E44" w:rsidP="00B20C84">
      <w:pPr>
        <w:pStyle w:val="Ttulo8"/>
        <w:tabs>
          <w:tab w:val="clear" w:pos="284"/>
        </w:tabs>
        <w:jc w:val="center"/>
      </w:pPr>
      <w:r w:rsidRPr="003172B4">
        <w:t>Data de divulgação:</w:t>
      </w:r>
      <w:r w:rsidR="003346D4" w:rsidRPr="003172B4">
        <w:t xml:space="preserve"> </w:t>
      </w:r>
      <w:r w:rsidR="00A30CD4">
        <w:t>13</w:t>
      </w:r>
      <w:r w:rsidR="00F9702B">
        <w:t xml:space="preserve"> </w:t>
      </w:r>
      <w:r w:rsidR="00C37594" w:rsidRPr="003172B4">
        <w:t xml:space="preserve">de </w:t>
      </w:r>
      <w:r w:rsidR="00A30CD4">
        <w:t>outubro</w:t>
      </w:r>
      <w:r w:rsidR="006F26B3">
        <w:t xml:space="preserve"> </w:t>
      </w:r>
      <w:r w:rsidR="003346D4" w:rsidRPr="003172B4">
        <w:t>de 20</w:t>
      </w:r>
      <w:r w:rsidR="008D7621" w:rsidRPr="003172B4">
        <w:t>2</w:t>
      </w:r>
      <w:r w:rsidR="00DA0B30">
        <w:t>6</w:t>
      </w:r>
    </w:p>
    <w:p w14:paraId="7C161CC2" w14:textId="77777777" w:rsidR="003346D4" w:rsidRPr="003172B4" w:rsidRDefault="003346D4" w:rsidP="003346D4">
      <w:pPr>
        <w:autoSpaceDE w:val="0"/>
        <w:autoSpaceDN w:val="0"/>
        <w:adjustRightInd w:val="0"/>
        <w:jc w:val="center"/>
        <w:rPr>
          <w:b/>
          <w:bCs/>
          <w:smallCaps/>
          <w:sz w:val="33"/>
          <w:szCs w:val="33"/>
        </w:rPr>
      </w:pPr>
    </w:p>
    <w:p w14:paraId="775A426C" w14:textId="77777777" w:rsidR="003346D4" w:rsidRPr="003172B4" w:rsidRDefault="003346D4" w:rsidP="00B20C84">
      <w:pPr>
        <w:pStyle w:val="Ttulo8"/>
        <w:tabs>
          <w:tab w:val="clear" w:pos="284"/>
        </w:tabs>
        <w:jc w:val="center"/>
        <w:rPr>
          <w:sz w:val="16"/>
          <w:szCs w:val="16"/>
        </w:rPr>
      </w:pPr>
      <w:r w:rsidRPr="003172B4">
        <w:rPr>
          <w:sz w:val="16"/>
          <w:szCs w:val="16"/>
        </w:rPr>
        <w:t>Permite-se a reprodução desta publicação, no todo ou em parte, sem alteração do conteúdo, desde que citada a fonte.</w:t>
      </w:r>
    </w:p>
    <w:p w14:paraId="5CB3247D" w14:textId="77777777" w:rsidR="003346D4" w:rsidRPr="003172B4" w:rsidRDefault="003346D4" w:rsidP="00B20C84">
      <w:pPr>
        <w:pStyle w:val="Ttulo8"/>
        <w:tabs>
          <w:tab w:val="clear" w:pos="284"/>
        </w:tabs>
        <w:rPr>
          <w:sz w:val="20"/>
          <w:szCs w:val="20"/>
        </w:rPr>
      </w:pPr>
    </w:p>
    <w:p w14:paraId="5F8BC7F8" w14:textId="77777777" w:rsidR="003346D4" w:rsidRPr="003172B4" w:rsidRDefault="003346D4" w:rsidP="00B20C84">
      <w:pPr>
        <w:pStyle w:val="Ttulo8"/>
        <w:tabs>
          <w:tab w:val="clear" w:pos="284"/>
        </w:tabs>
        <w:jc w:val="center"/>
        <w:rPr>
          <w:sz w:val="16"/>
          <w:szCs w:val="16"/>
        </w:rPr>
      </w:pPr>
      <w:r w:rsidRPr="003172B4">
        <w:rPr>
          <w:sz w:val="16"/>
          <w:szCs w:val="16"/>
        </w:rPr>
        <w:t>ISSN: </w:t>
      </w:r>
      <w:hyperlink r:id="rId8" w:history="1">
        <w:r w:rsidRPr="003172B4">
          <w:rPr>
            <w:b w:val="0"/>
            <w:sz w:val="16"/>
            <w:szCs w:val="16"/>
          </w:rPr>
          <w:t>2675-8210</w:t>
        </w:r>
      </w:hyperlink>
    </w:p>
    <w:p w14:paraId="108358E7" w14:textId="77777777" w:rsidR="003346D4" w:rsidRPr="003172B4" w:rsidRDefault="003346D4" w:rsidP="00B20C84">
      <w:pPr>
        <w:pStyle w:val="Ttulo8"/>
        <w:tabs>
          <w:tab w:val="clear" w:pos="284"/>
        </w:tabs>
        <w:rPr>
          <w:b w:val="0"/>
          <w:sz w:val="20"/>
          <w:szCs w:val="20"/>
        </w:rPr>
      </w:pPr>
    </w:p>
    <w:p w14:paraId="19F6474C" w14:textId="471D20CD" w:rsidR="003346D4" w:rsidRPr="003172B4" w:rsidRDefault="003346D4" w:rsidP="00B20C84">
      <w:pPr>
        <w:pStyle w:val="Ttulo8"/>
        <w:tabs>
          <w:tab w:val="clear" w:pos="284"/>
        </w:tabs>
        <w:rPr>
          <w:b w:val="0"/>
          <w:sz w:val="16"/>
          <w:szCs w:val="16"/>
        </w:rPr>
      </w:pPr>
      <w:r w:rsidRPr="003172B4">
        <w:rPr>
          <w:b w:val="0"/>
          <w:sz w:val="16"/>
          <w:szCs w:val="16"/>
        </w:rPr>
        <w:t xml:space="preserve">INFORMATIVO STF. Brasília: Supremo Tribunal Federal, Secretaria de Altos Estudos, Pesquisas e Gestão da Informação, n. </w:t>
      </w:r>
      <w:r w:rsidR="00E1725E">
        <w:rPr>
          <w:b w:val="0"/>
          <w:sz w:val="16"/>
          <w:szCs w:val="16"/>
        </w:rPr>
        <w:t>1232</w:t>
      </w:r>
      <w:r w:rsidRPr="003172B4">
        <w:rPr>
          <w:b w:val="0"/>
          <w:sz w:val="16"/>
          <w:szCs w:val="16"/>
        </w:rPr>
        <w:t>/202</w:t>
      </w:r>
      <w:r w:rsidR="00DA0B30">
        <w:rPr>
          <w:b w:val="0"/>
          <w:sz w:val="16"/>
          <w:szCs w:val="16"/>
        </w:rPr>
        <w:t>6</w:t>
      </w:r>
      <w:r w:rsidRPr="003172B4">
        <w:rPr>
          <w:b w:val="0"/>
          <w:sz w:val="16"/>
          <w:szCs w:val="16"/>
        </w:rPr>
        <w:t xml:space="preserve">. Disponível em: </w:t>
      </w:r>
      <w:hyperlink r:id="rId9" w:history="1">
        <w:r w:rsidRPr="003172B4">
          <w:rPr>
            <w:rStyle w:val="Hyperlink"/>
            <w:b w:val="0"/>
            <w:sz w:val="16"/>
            <w:szCs w:val="16"/>
          </w:rPr>
          <w:t>http://portal.stf.jus.br/textos/verTexto.asp?servico=informativoSTF</w:t>
        </w:r>
      </w:hyperlink>
      <w:r w:rsidRPr="003172B4">
        <w:rPr>
          <w:b w:val="0"/>
          <w:sz w:val="16"/>
          <w:szCs w:val="16"/>
        </w:rPr>
        <w:t xml:space="preserve">. Data de divulgação: </w:t>
      </w:r>
      <w:r w:rsidR="00A30CD4">
        <w:rPr>
          <w:b w:val="0"/>
          <w:sz w:val="16"/>
          <w:szCs w:val="16"/>
        </w:rPr>
        <w:t>13</w:t>
      </w:r>
      <w:r w:rsidR="00CA6E74">
        <w:rPr>
          <w:b w:val="0"/>
          <w:sz w:val="16"/>
          <w:szCs w:val="16"/>
        </w:rPr>
        <w:t xml:space="preserve"> </w:t>
      </w:r>
      <w:r w:rsidR="00D805B8" w:rsidRPr="00D805B8">
        <w:rPr>
          <w:b w:val="0"/>
          <w:sz w:val="16"/>
          <w:szCs w:val="16"/>
        </w:rPr>
        <w:t>de</w:t>
      </w:r>
      <w:r w:rsidR="00F9702B">
        <w:rPr>
          <w:b w:val="0"/>
          <w:sz w:val="16"/>
          <w:szCs w:val="16"/>
        </w:rPr>
        <w:t xml:space="preserve"> </w:t>
      </w:r>
      <w:r w:rsidR="00A30CD4">
        <w:rPr>
          <w:b w:val="0"/>
          <w:sz w:val="16"/>
          <w:szCs w:val="16"/>
        </w:rPr>
        <w:t>outubro</w:t>
      </w:r>
      <w:r w:rsidR="006F26B3">
        <w:rPr>
          <w:b w:val="0"/>
          <w:sz w:val="16"/>
          <w:szCs w:val="16"/>
        </w:rPr>
        <w:t xml:space="preserve"> </w:t>
      </w:r>
      <w:r w:rsidR="00D805B8" w:rsidRPr="00D805B8">
        <w:rPr>
          <w:b w:val="0"/>
          <w:sz w:val="16"/>
          <w:szCs w:val="16"/>
        </w:rPr>
        <w:t>de 202</w:t>
      </w:r>
      <w:r w:rsidR="00DA0B30">
        <w:rPr>
          <w:b w:val="0"/>
          <w:sz w:val="16"/>
          <w:szCs w:val="16"/>
        </w:rPr>
        <w:t>6</w:t>
      </w:r>
      <w:r w:rsidRPr="003172B4">
        <w:rPr>
          <w:b w:val="0"/>
          <w:sz w:val="16"/>
          <w:szCs w:val="16"/>
        </w:rPr>
        <w:t>.</w:t>
      </w:r>
    </w:p>
    <w:p w14:paraId="1819FCFD" w14:textId="77777777" w:rsidR="003346D4" w:rsidRPr="003172B4" w:rsidRDefault="003346D4" w:rsidP="003346D4">
      <w:pPr>
        <w:rPr>
          <w:sz w:val="20"/>
          <w:szCs w:val="20"/>
        </w:rPr>
      </w:pPr>
    </w:p>
    <w:p w14:paraId="1F39CCE6" w14:textId="77777777" w:rsidR="00E51D71" w:rsidRPr="003172B4" w:rsidRDefault="00E51D71" w:rsidP="00EC546C">
      <w:pPr>
        <w:pBdr>
          <w:top w:val="double" w:sz="12" w:space="0" w:color="auto"/>
        </w:pBdr>
        <w:tabs>
          <w:tab w:val="left" w:pos="284"/>
        </w:tabs>
        <w:jc w:val="center"/>
        <w:rPr>
          <w:b/>
          <w:bCs/>
          <w:smallCaps/>
          <w:sz w:val="28"/>
          <w:szCs w:val="28"/>
        </w:rPr>
      </w:pPr>
    </w:p>
    <w:p w14:paraId="07764ED4" w14:textId="77777777" w:rsidR="00730A62" w:rsidRPr="00B20C84" w:rsidRDefault="00730A62" w:rsidP="00EC546C">
      <w:pPr>
        <w:pBdr>
          <w:top w:val="double" w:sz="12" w:space="0" w:color="auto"/>
        </w:pBdr>
        <w:tabs>
          <w:tab w:val="left" w:pos="284"/>
        </w:tabs>
        <w:jc w:val="center"/>
        <w:rPr>
          <w:b/>
          <w:bCs/>
          <w:smallCaps/>
          <w:sz w:val="28"/>
          <w:szCs w:val="24"/>
        </w:rPr>
      </w:pPr>
      <w:bookmarkStart w:id="0" w:name="SUMÁRIO"/>
      <w:r w:rsidRPr="00B20C84">
        <w:rPr>
          <w:b/>
          <w:bCs/>
          <w:smallCaps/>
          <w:sz w:val="28"/>
          <w:szCs w:val="24"/>
        </w:rPr>
        <w:t>Sumário</w:t>
      </w:r>
    </w:p>
    <w:bookmarkEnd w:id="0"/>
    <w:p w14:paraId="60BAC220" w14:textId="77777777" w:rsidR="00E51D71" w:rsidRPr="00B20C84" w:rsidRDefault="00E51D71" w:rsidP="00EC546C">
      <w:pPr>
        <w:pBdr>
          <w:top w:val="double" w:sz="12" w:space="0" w:color="auto"/>
        </w:pBdr>
        <w:tabs>
          <w:tab w:val="left" w:pos="284"/>
        </w:tabs>
        <w:jc w:val="center"/>
        <w:rPr>
          <w:b/>
          <w:bCs/>
          <w:smallCaps/>
          <w:sz w:val="28"/>
          <w:szCs w:val="24"/>
        </w:rPr>
      </w:pPr>
    </w:p>
    <w:p w14:paraId="24D0029B" w14:textId="74311827" w:rsidR="00D7750E" w:rsidRPr="003C4979" w:rsidRDefault="00435CF5" w:rsidP="00435CF5">
      <w:pPr>
        <w:pStyle w:val="tita"/>
        <w:spacing w:before="0" w:after="120" w:line="360" w:lineRule="auto"/>
        <w:jc w:val="both"/>
        <w:rPr>
          <w:i w:val="0"/>
          <w:iCs w:val="0"/>
        </w:rPr>
      </w:pPr>
      <w:r>
        <w:rPr>
          <w:i w:val="0"/>
          <w:iCs w:val="0"/>
        </w:rPr>
        <w:t>1</w:t>
      </w:r>
      <w:r>
        <w:rPr>
          <w:i w:val="0"/>
          <w:iCs w:val="0"/>
        </w:rPr>
        <w:tab/>
      </w:r>
      <w:hyperlink w:anchor="Plenário" w:history="1">
        <w:r w:rsidR="00740AE3" w:rsidRPr="003C4979">
          <w:rPr>
            <w:rStyle w:val="Hyperlink"/>
            <w:i w:val="0"/>
            <w:iCs w:val="0"/>
            <w:color w:val="auto"/>
            <w:u w:val="none"/>
          </w:rPr>
          <w:t>Plenário</w:t>
        </w:r>
      </w:hyperlink>
    </w:p>
    <w:p w14:paraId="3E34C67C" w14:textId="77777777" w:rsidR="00AD256D" w:rsidRPr="003C4979" w:rsidRDefault="00AD256D" w:rsidP="00AD256D">
      <w:pPr>
        <w:pStyle w:val="tita"/>
        <w:spacing w:before="0" w:after="0" w:line="240" w:lineRule="auto"/>
        <w:jc w:val="both"/>
        <w:rPr>
          <w:i w:val="0"/>
          <w:iCs w:val="0"/>
        </w:rPr>
      </w:pPr>
    </w:p>
    <w:p w14:paraId="17E73C84" w14:textId="7C2F6A44" w:rsidR="00AD256D" w:rsidRPr="003C4979" w:rsidRDefault="00AD256D" w:rsidP="00AD256D">
      <w:pPr>
        <w:spacing w:line="360" w:lineRule="auto"/>
        <w:ind w:left="708"/>
        <w:rPr>
          <w:b/>
          <w:sz w:val="24"/>
          <w:szCs w:val="24"/>
          <w:lang w:eastAsia="en-US"/>
        </w:rPr>
      </w:pPr>
      <w:r w:rsidRPr="003C4979">
        <w:rPr>
          <w:b/>
          <w:sz w:val="24"/>
          <w:szCs w:val="24"/>
          <w:lang w:eastAsia="en-US"/>
        </w:rPr>
        <w:t xml:space="preserve">Direito </w:t>
      </w:r>
      <w:r w:rsidR="002A3488">
        <w:rPr>
          <w:b/>
          <w:sz w:val="24"/>
          <w:szCs w:val="24"/>
          <w:lang w:eastAsia="en-US"/>
        </w:rPr>
        <w:t>Previdenciário</w:t>
      </w:r>
    </w:p>
    <w:p w14:paraId="1D095D4F" w14:textId="3143E282" w:rsidR="00AD256D" w:rsidRPr="003C4979" w:rsidRDefault="002A3488" w:rsidP="00AD256D">
      <w:pPr>
        <w:spacing w:line="360" w:lineRule="auto"/>
        <w:ind w:left="1418"/>
        <w:rPr>
          <w:sz w:val="24"/>
          <w:szCs w:val="24"/>
          <w:lang w:eastAsia="en-US"/>
        </w:rPr>
      </w:pPr>
      <w:r w:rsidRPr="002A3488">
        <w:rPr>
          <w:sz w:val="24"/>
          <w:szCs w:val="24"/>
          <w:lang w:eastAsia="en-US"/>
        </w:rPr>
        <w:t xml:space="preserve">Regime </w:t>
      </w:r>
      <w:r>
        <w:rPr>
          <w:sz w:val="24"/>
          <w:szCs w:val="24"/>
          <w:lang w:eastAsia="en-US"/>
        </w:rPr>
        <w:t>d</w:t>
      </w:r>
      <w:r w:rsidRPr="002A3488">
        <w:rPr>
          <w:sz w:val="24"/>
          <w:szCs w:val="24"/>
          <w:lang w:eastAsia="en-US"/>
        </w:rPr>
        <w:t>e Previdência Complementar; Servidor Público; Regime Estatutário; Direito</w:t>
      </w:r>
      <w:r>
        <w:rPr>
          <w:sz w:val="24"/>
          <w:szCs w:val="24"/>
          <w:lang w:eastAsia="en-US"/>
        </w:rPr>
        <w:t xml:space="preserve"> d</w:t>
      </w:r>
      <w:r w:rsidRPr="002A3488">
        <w:rPr>
          <w:sz w:val="24"/>
          <w:szCs w:val="24"/>
          <w:lang w:eastAsia="en-US"/>
        </w:rPr>
        <w:t>e Opção</w:t>
      </w:r>
    </w:p>
    <w:p w14:paraId="0B4D72E0" w14:textId="571AF242" w:rsidR="00AD256D" w:rsidRDefault="002A3488" w:rsidP="00AD256D">
      <w:pPr>
        <w:spacing w:line="360" w:lineRule="auto"/>
        <w:ind w:left="2126"/>
      </w:pPr>
      <w:hyperlink w:anchor="previdenciacomplementar" w:history="1">
        <w:r w:rsidRPr="002A3488">
          <w:rPr>
            <w:rStyle w:val="Hyperlink"/>
            <w:b/>
            <w:bCs/>
            <w:i/>
            <w:iCs/>
            <w:color w:val="auto"/>
            <w:sz w:val="24"/>
            <w:szCs w:val="24"/>
            <w:u w:val="none"/>
            <w:lang w:eastAsia="en-US"/>
          </w:rPr>
          <w:t>Regime de previdência complementar: mudança de ente federativo e ausência de interrupção do vínculo</w:t>
        </w:r>
      </w:hyperlink>
      <w:r w:rsidRPr="002A3488">
        <w:rPr>
          <w:b/>
          <w:bCs/>
          <w:i/>
          <w:iCs/>
          <w:sz w:val="24"/>
          <w:szCs w:val="24"/>
          <w:lang w:eastAsia="en-US"/>
        </w:rPr>
        <w:t xml:space="preserve"> </w:t>
      </w:r>
      <w:r w:rsidRPr="002A3488">
        <w:rPr>
          <w:sz w:val="24"/>
          <w:szCs w:val="24"/>
          <w:lang w:eastAsia="en-US"/>
        </w:rPr>
        <w:t xml:space="preserve">– </w:t>
      </w:r>
      <w:hyperlink r:id="rId10" w:history="1">
        <w:r w:rsidRPr="002A3488">
          <w:rPr>
            <w:sz w:val="24"/>
            <w:szCs w:val="24"/>
            <w:lang w:eastAsia="en-US"/>
          </w:rPr>
          <w:t>RE 1.050.597/RS</w:t>
        </w:r>
      </w:hyperlink>
      <w:r w:rsidRPr="002A3488">
        <w:rPr>
          <w:sz w:val="24"/>
          <w:szCs w:val="24"/>
          <w:lang w:eastAsia="en-US"/>
        </w:rPr>
        <w:t xml:space="preserve"> (</w:t>
      </w:r>
      <w:hyperlink r:id="rId11" w:history="1">
        <w:r w:rsidRPr="002A3488">
          <w:rPr>
            <w:sz w:val="24"/>
            <w:szCs w:val="24"/>
            <w:u w:val="single"/>
            <w:lang w:eastAsia="en-US"/>
          </w:rPr>
          <w:t>Tema 1.071 RG</w:t>
        </w:r>
      </w:hyperlink>
      <w:r w:rsidRPr="002A3488">
        <w:rPr>
          <w:sz w:val="24"/>
          <w:szCs w:val="24"/>
          <w:lang w:eastAsia="en-US"/>
        </w:rPr>
        <w:t>)</w:t>
      </w:r>
    </w:p>
    <w:p w14:paraId="353CA051" w14:textId="77777777" w:rsidR="00AD256D" w:rsidRDefault="00AD256D" w:rsidP="00AD256D">
      <w:pPr>
        <w:spacing w:line="360" w:lineRule="auto"/>
        <w:ind w:left="709"/>
        <w:rPr>
          <w:b/>
          <w:sz w:val="24"/>
          <w:szCs w:val="24"/>
          <w:shd w:val="clear" w:color="auto" w:fill="FFFFFF"/>
          <w:lang w:eastAsia="en-US"/>
        </w:rPr>
      </w:pPr>
      <w:r w:rsidRPr="003C4979">
        <w:rPr>
          <w:b/>
          <w:sz w:val="24"/>
          <w:szCs w:val="24"/>
          <w:shd w:val="clear" w:color="auto" w:fill="FFFFFF"/>
          <w:lang w:eastAsia="en-US"/>
        </w:rPr>
        <w:t>Direito Tributário</w:t>
      </w:r>
    </w:p>
    <w:p w14:paraId="71DF0BF4" w14:textId="02ECF5FB" w:rsidR="00AD256D" w:rsidRPr="003C4979" w:rsidRDefault="00EC1448" w:rsidP="00AD256D">
      <w:pPr>
        <w:spacing w:line="360" w:lineRule="auto"/>
        <w:ind w:left="1418"/>
        <w:rPr>
          <w:sz w:val="24"/>
          <w:szCs w:val="24"/>
          <w:lang w:eastAsia="en-US"/>
        </w:rPr>
      </w:pPr>
      <w:r w:rsidRPr="00EC1448">
        <w:rPr>
          <w:sz w:val="24"/>
          <w:szCs w:val="24"/>
          <w:lang w:eastAsia="en-US"/>
        </w:rPr>
        <w:t xml:space="preserve">Multa Tributária; Distribuição </w:t>
      </w:r>
      <w:r>
        <w:rPr>
          <w:sz w:val="24"/>
          <w:szCs w:val="24"/>
          <w:lang w:eastAsia="en-US"/>
        </w:rPr>
        <w:t>d</w:t>
      </w:r>
      <w:r w:rsidRPr="00EC1448">
        <w:rPr>
          <w:sz w:val="24"/>
          <w:szCs w:val="24"/>
          <w:lang w:eastAsia="en-US"/>
        </w:rPr>
        <w:t xml:space="preserve">e Lucros; Débito </w:t>
      </w:r>
      <w:r>
        <w:rPr>
          <w:sz w:val="24"/>
          <w:szCs w:val="24"/>
          <w:lang w:eastAsia="en-US"/>
        </w:rPr>
        <w:t>n</w:t>
      </w:r>
      <w:r w:rsidRPr="00EC1448">
        <w:rPr>
          <w:sz w:val="24"/>
          <w:szCs w:val="24"/>
          <w:lang w:eastAsia="en-US"/>
        </w:rPr>
        <w:t>ão Garantido</w:t>
      </w:r>
    </w:p>
    <w:p w14:paraId="14DA8941" w14:textId="35AC1AFB" w:rsidR="00AD256D" w:rsidRDefault="00EC1448" w:rsidP="00AD256D">
      <w:pPr>
        <w:spacing w:line="360" w:lineRule="auto"/>
        <w:ind w:left="2126"/>
      </w:pPr>
      <w:hyperlink w:anchor="lucros" w:history="1">
        <w:r w:rsidRPr="00EC1448">
          <w:rPr>
            <w:rStyle w:val="Hyperlink"/>
            <w:b/>
            <w:bCs/>
            <w:i/>
            <w:iCs/>
            <w:color w:val="auto"/>
            <w:sz w:val="24"/>
            <w:szCs w:val="24"/>
            <w:u w:val="none"/>
            <w:lang w:eastAsia="en-US"/>
          </w:rPr>
          <w:t>Aplicação de multa pela distribuição de lucros por pessoas jurídicas em débito não garantido com a União</w:t>
        </w:r>
      </w:hyperlink>
      <w:r w:rsidRPr="00EC1448">
        <w:rPr>
          <w:b/>
          <w:bCs/>
          <w:i/>
          <w:iCs/>
          <w:sz w:val="24"/>
          <w:szCs w:val="24"/>
          <w:lang w:eastAsia="en-US"/>
        </w:rPr>
        <w:t xml:space="preserve"> –</w:t>
      </w:r>
      <w:r w:rsidRPr="00EC1448">
        <w:rPr>
          <w:sz w:val="24"/>
          <w:szCs w:val="24"/>
          <w:lang w:eastAsia="en-US"/>
        </w:rPr>
        <w:t xml:space="preserve"> </w:t>
      </w:r>
      <w:hyperlink r:id="rId12" w:history="1">
        <w:r w:rsidRPr="00EC1448">
          <w:rPr>
            <w:sz w:val="24"/>
            <w:szCs w:val="24"/>
          </w:rPr>
          <w:t>ADI 5.161/DF</w:t>
        </w:r>
      </w:hyperlink>
      <w:r w:rsidR="00AD256D" w:rsidRPr="00EC1448">
        <w:rPr>
          <w:b/>
          <w:bCs/>
          <w:i/>
          <w:iCs/>
          <w:sz w:val="24"/>
          <w:szCs w:val="24"/>
          <w:lang w:eastAsia="en-US"/>
        </w:rPr>
        <w:t xml:space="preserve"> </w:t>
      </w:r>
      <w:r w:rsidR="00AD256D" w:rsidRPr="00EC1448">
        <w:t xml:space="preserve"> </w:t>
      </w:r>
    </w:p>
    <w:p w14:paraId="2F0DD0B4" w14:textId="07F571FD" w:rsidR="006E2DB9" w:rsidRDefault="00BA2E84" w:rsidP="00BA2E84">
      <w:pPr>
        <w:pStyle w:val="tita"/>
        <w:spacing w:before="0" w:after="120" w:line="360" w:lineRule="auto"/>
        <w:jc w:val="both"/>
      </w:pPr>
      <w:r>
        <w:rPr>
          <w:i w:val="0"/>
          <w:iCs w:val="0"/>
        </w:rPr>
        <w:t xml:space="preserve">2 </w:t>
      </w:r>
      <w:r>
        <w:rPr>
          <w:i w:val="0"/>
          <w:iCs w:val="0"/>
        </w:rPr>
        <w:tab/>
      </w:r>
      <w:hyperlink w:anchor="TURMAS" w:history="1">
        <w:r w:rsidR="00435CF5" w:rsidRPr="00BA2E84">
          <w:rPr>
            <w:rStyle w:val="Hyperlink"/>
            <w:i w:val="0"/>
            <w:iCs w:val="0"/>
            <w:color w:val="auto"/>
            <w:u w:val="none"/>
          </w:rPr>
          <w:t>Turmas</w:t>
        </w:r>
      </w:hyperlink>
    </w:p>
    <w:p w14:paraId="2265C358" w14:textId="77777777" w:rsidR="006C02AA" w:rsidRPr="003C4979" w:rsidRDefault="006C02AA" w:rsidP="006C02AA">
      <w:pPr>
        <w:spacing w:line="360" w:lineRule="auto"/>
        <w:ind w:left="708"/>
        <w:rPr>
          <w:b/>
          <w:sz w:val="24"/>
          <w:szCs w:val="24"/>
          <w:lang w:eastAsia="en-US"/>
        </w:rPr>
      </w:pPr>
      <w:r w:rsidRPr="003C4979">
        <w:rPr>
          <w:b/>
          <w:sz w:val="24"/>
          <w:szCs w:val="24"/>
          <w:lang w:eastAsia="en-US"/>
        </w:rPr>
        <w:t xml:space="preserve">Direito </w:t>
      </w:r>
      <w:r>
        <w:rPr>
          <w:b/>
          <w:sz w:val="24"/>
          <w:szCs w:val="24"/>
          <w:lang w:eastAsia="en-US"/>
        </w:rPr>
        <w:t>Administrativo</w:t>
      </w:r>
    </w:p>
    <w:p w14:paraId="3503D425" w14:textId="77777777" w:rsidR="006C02AA" w:rsidRPr="003C4979" w:rsidRDefault="006C02AA" w:rsidP="006C02AA">
      <w:pPr>
        <w:spacing w:line="360" w:lineRule="auto"/>
        <w:ind w:left="1418"/>
        <w:rPr>
          <w:sz w:val="24"/>
          <w:szCs w:val="24"/>
          <w:lang w:eastAsia="en-US"/>
        </w:rPr>
      </w:pPr>
      <w:r w:rsidRPr="00967151">
        <w:rPr>
          <w:sz w:val="24"/>
          <w:szCs w:val="24"/>
          <w:lang w:eastAsia="en-US"/>
        </w:rPr>
        <w:t>Servidor Público; Sistema Remuneratório e Benefícios; Gratificação Incorporada, Quintos e Décimos e VPNI</w:t>
      </w:r>
    </w:p>
    <w:p w14:paraId="6EEE6CB9" w14:textId="77777777" w:rsidR="006C02AA" w:rsidRPr="00967151" w:rsidRDefault="006C02AA" w:rsidP="006C02AA">
      <w:pPr>
        <w:spacing w:line="360" w:lineRule="auto"/>
        <w:ind w:left="2126"/>
      </w:pPr>
      <w:hyperlink w:anchor="RE1491723" w:history="1">
        <w:r w:rsidRPr="00571F6F">
          <w:rPr>
            <w:rStyle w:val="Hyperlink"/>
            <w:b/>
            <w:bCs/>
            <w:i/>
            <w:iCs/>
            <w:color w:val="auto"/>
            <w:sz w:val="24"/>
            <w:szCs w:val="24"/>
            <w:u w:val="none"/>
            <w:lang w:eastAsia="en-US"/>
          </w:rPr>
          <w:t>Alcance da modulação dos efeitos do Tema 395 RG: pagamento de parcelas de quintos reconhecidas administrativamente e não quitadas por falta de disponibilidade orçamentária</w:t>
        </w:r>
      </w:hyperlink>
      <w:r w:rsidRPr="00571F6F">
        <w:rPr>
          <w:b/>
          <w:bCs/>
          <w:i/>
          <w:iCs/>
          <w:sz w:val="24"/>
          <w:szCs w:val="24"/>
          <w:lang w:eastAsia="en-US"/>
        </w:rPr>
        <w:t xml:space="preserve"> </w:t>
      </w:r>
      <w:r w:rsidRPr="00571F6F">
        <w:rPr>
          <w:sz w:val="24"/>
          <w:szCs w:val="24"/>
        </w:rPr>
        <w:t xml:space="preserve">– </w:t>
      </w:r>
      <w:hyperlink r:id="rId13" w:history="1">
        <w:r w:rsidRPr="00967151">
          <w:rPr>
            <w:rStyle w:val="Hyperlink"/>
            <w:color w:val="auto"/>
            <w:sz w:val="24"/>
            <w:szCs w:val="24"/>
            <w:u w:val="none"/>
          </w:rPr>
          <w:t>RE 1.491.723</w:t>
        </w:r>
        <w:r w:rsidRPr="00967151">
          <w:rPr>
            <w:rStyle w:val="Hyperlink"/>
            <w:color w:val="auto"/>
            <w:u w:val="none"/>
          </w:rPr>
          <w:t xml:space="preserve"> </w:t>
        </w:r>
        <w:proofErr w:type="spellStart"/>
        <w:r w:rsidRPr="00967151">
          <w:rPr>
            <w:rStyle w:val="Hyperlink"/>
            <w:color w:val="auto"/>
            <w:sz w:val="24"/>
            <w:szCs w:val="24"/>
            <w:u w:val="none"/>
          </w:rPr>
          <w:t>AgR</w:t>
        </w:r>
        <w:proofErr w:type="spellEnd"/>
        <w:r w:rsidRPr="00967151">
          <w:rPr>
            <w:rStyle w:val="Hyperlink"/>
            <w:color w:val="auto"/>
            <w:sz w:val="24"/>
            <w:szCs w:val="24"/>
            <w:u w:val="none"/>
          </w:rPr>
          <w:t>/PR</w:t>
        </w:r>
      </w:hyperlink>
    </w:p>
    <w:p w14:paraId="360F1EBF" w14:textId="77777777" w:rsidR="00AD256D" w:rsidRPr="00BA2E84" w:rsidRDefault="00AD256D" w:rsidP="00914EBE">
      <w:pPr>
        <w:pStyle w:val="tita"/>
        <w:spacing w:before="0" w:after="0" w:line="240" w:lineRule="auto"/>
        <w:jc w:val="both"/>
        <w:rPr>
          <w:i w:val="0"/>
          <w:iCs w:val="0"/>
        </w:rPr>
      </w:pPr>
    </w:p>
    <w:p w14:paraId="41B4EAA6" w14:textId="53A76A80" w:rsidR="00F52F38" w:rsidRPr="003C4979" w:rsidRDefault="00BA2E84" w:rsidP="00BA2E84">
      <w:pPr>
        <w:pStyle w:val="tita"/>
        <w:spacing w:before="0" w:after="120" w:line="360" w:lineRule="auto"/>
        <w:jc w:val="both"/>
        <w:rPr>
          <w:i w:val="0"/>
          <w:iCs w:val="0"/>
        </w:rPr>
      </w:pPr>
      <w:r>
        <w:rPr>
          <w:i w:val="0"/>
          <w:iCs w:val="0"/>
        </w:rPr>
        <w:t>3</w:t>
      </w:r>
      <w:r>
        <w:rPr>
          <w:i w:val="0"/>
          <w:iCs w:val="0"/>
        </w:rPr>
        <w:tab/>
      </w:r>
      <w:hyperlink w:anchor="INOVAÇÕES" w:history="1">
        <w:r w:rsidR="00EF580F" w:rsidRPr="003C4979">
          <w:rPr>
            <w:rStyle w:val="Hyperlink"/>
            <w:i w:val="0"/>
            <w:iCs w:val="0"/>
            <w:color w:val="auto"/>
            <w:u w:val="none"/>
          </w:rPr>
          <w:t>Inovações Normativas do STF</w:t>
        </w:r>
      </w:hyperlink>
    </w:p>
    <w:p w14:paraId="3798E43F" w14:textId="77777777" w:rsidR="00046C7B" w:rsidRPr="00820E09" w:rsidRDefault="00046C7B" w:rsidP="00C1099A">
      <w:pPr>
        <w:contextualSpacing/>
        <w:rPr>
          <w:rStyle w:val="Hyperlink"/>
          <w:b/>
          <w:bCs/>
          <w:color w:val="066194"/>
          <w:sz w:val="24"/>
          <w:szCs w:val="20"/>
          <w:shd w:val="clear" w:color="auto" w:fill="FFFFFF"/>
        </w:rPr>
      </w:pPr>
    </w:p>
    <w:p w14:paraId="7F7919A1" w14:textId="67D61880" w:rsidR="00046C7B" w:rsidRPr="003172B4" w:rsidRDefault="00046C7B" w:rsidP="00046C7B">
      <w:pPr>
        <w:pBdr>
          <w:top w:val="double" w:sz="18" w:space="4" w:color="auto"/>
          <w:bottom w:val="double" w:sz="18" w:space="8" w:color="auto"/>
        </w:pBdr>
        <w:tabs>
          <w:tab w:val="left" w:pos="284"/>
        </w:tabs>
        <w:spacing w:after="120"/>
        <w:jc w:val="center"/>
        <w:rPr>
          <w:b/>
          <w:bCs/>
          <w:iCs/>
          <w:smallCaps/>
          <w:sz w:val="22"/>
          <w:szCs w:val="22"/>
        </w:rPr>
      </w:pPr>
      <w:bookmarkStart w:id="1" w:name="PLENÁRIO"/>
      <w:r>
        <w:rPr>
          <w:b/>
          <w:bCs/>
          <w:iCs/>
          <w:smallCaps/>
          <w:sz w:val="22"/>
          <w:szCs w:val="22"/>
        </w:rPr>
        <w:lastRenderedPageBreak/>
        <w:t>1 PLENÁRIO</w:t>
      </w:r>
    </w:p>
    <w:p w14:paraId="02557996" w14:textId="77777777" w:rsidR="002A3488" w:rsidRDefault="002A3488" w:rsidP="002A3488">
      <w:pPr>
        <w:rPr>
          <w:sz w:val="24"/>
          <w:szCs w:val="24"/>
          <w:lang w:eastAsia="en-US"/>
        </w:rPr>
      </w:pPr>
      <w:bookmarkStart w:id="2" w:name="_Hlk199424979"/>
      <w:bookmarkEnd w:id="1"/>
    </w:p>
    <w:p w14:paraId="02CA4F81" w14:textId="10009B60" w:rsidR="002A3488" w:rsidRPr="002A3488" w:rsidRDefault="002A3488" w:rsidP="002A3488">
      <w:pPr>
        <w:rPr>
          <w:bCs/>
          <w:sz w:val="24"/>
          <w:szCs w:val="24"/>
          <w:lang w:eastAsia="en-US"/>
        </w:rPr>
      </w:pPr>
      <w:r w:rsidRPr="002A3488">
        <w:rPr>
          <w:sz w:val="24"/>
          <w:szCs w:val="24"/>
          <w:lang w:eastAsia="en-US"/>
        </w:rPr>
        <w:t xml:space="preserve">DIREITO PREVIDENCIÁRIO – REGIME DE PREVIDÊNCIA COMPLEMENTAR; SERVIDOR PÚBLICO; REGIME ESTATUTÁRIO; DIREITO DE OPÇÃO </w:t>
      </w:r>
    </w:p>
    <w:p w14:paraId="2658C8FA" w14:textId="77777777" w:rsidR="002A3488" w:rsidRPr="002A3488" w:rsidRDefault="002A3488" w:rsidP="002A3488">
      <w:pPr>
        <w:rPr>
          <w:bCs/>
          <w:i/>
          <w:iCs/>
          <w:sz w:val="24"/>
          <w:szCs w:val="24"/>
          <w:highlight w:val="yellow"/>
          <w:lang w:eastAsia="en-US"/>
        </w:rPr>
      </w:pPr>
    </w:p>
    <w:p w14:paraId="3722F2BE" w14:textId="77777777" w:rsidR="002A3488" w:rsidRPr="002A3488" w:rsidRDefault="002A3488" w:rsidP="002A3488">
      <w:pPr>
        <w:autoSpaceDE w:val="0"/>
        <w:autoSpaceDN w:val="0"/>
        <w:adjustRightInd w:val="0"/>
        <w:rPr>
          <w:b/>
          <w:bCs/>
          <w:i/>
          <w:iCs/>
          <w:sz w:val="24"/>
          <w:szCs w:val="24"/>
          <w:lang w:eastAsia="en-US"/>
        </w:rPr>
      </w:pPr>
      <w:bookmarkStart w:id="3" w:name="Restrição"/>
      <w:bookmarkStart w:id="4" w:name="previdenciacomplementar"/>
      <w:bookmarkEnd w:id="3"/>
      <w:r w:rsidRPr="002A3488">
        <w:rPr>
          <w:b/>
          <w:bCs/>
          <w:i/>
          <w:iCs/>
          <w:sz w:val="24"/>
          <w:szCs w:val="24"/>
          <w:lang w:eastAsia="en-US"/>
        </w:rPr>
        <w:t>Regime de previdência complementar: mudança de ente federativo e ausência de interrupção do vínculo</w:t>
      </w:r>
      <w:bookmarkEnd w:id="4"/>
      <w:r w:rsidRPr="002A3488">
        <w:rPr>
          <w:b/>
          <w:bCs/>
          <w:i/>
          <w:iCs/>
          <w:sz w:val="24"/>
          <w:szCs w:val="24"/>
          <w:lang w:eastAsia="en-US"/>
        </w:rPr>
        <w:t xml:space="preserve"> </w:t>
      </w:r>
      <w:r w:rsidRPr="002A3488">
        <w:rPr>
          <w:sz w:val="24"/>
          <w:szCs w:val="24"/>
          <w:lang w:eastAsia="en-US"/>
        </w:rPr>
        <w:t xml:space="preserve">– </w:t>
      </w:r>
      <w:hyperlink r:id="rId14" w:history="1">
        <w:r w:rsidRPr="002A3488">
          <w:rPr>
            <w:sz w:val="24"/>
            <w:szCs w:val="24"/>
            <w:lang w:eastAsia="en-US"/>
          </w:rPr>
          <w:t>RE 1.050.597/RS</w:t>
        </w:r>
      </w:hyperlink>
      <w:r w:rsidRPr="002A3488">
        <w:rPr>
          <w:sz w:val="24"/>
          <w:szCs w:val="24"/>
          <w:lang w:eastAsia="en-US"/>
        </w:rPr>
        <w:t xml:space="preserve"> (</w:t>
      </w:r>
      <w:hyperlink r:id="rId15" w:history="1">
        <w:r w:rsidRPr="002A3488">
          <w:rPr>
            <w:sz w:val="24"/>
            <w:szCs w:val="24"/>
            <w:u w:val="single"/>
            <w:lang w:eastAsia="en-US"/>
          </w:rPr>
          <w:t>Tema 1.071 RG</w:t>
        </w:r>
      </w:hyperlink>
      <w:r w:rsidRPr="002A3488">
        <w:rPr>
          <w:sz w:val="24"/>
          <w:szCs w:val="24"/>
          <w:lang w:eastAsia="en-US"/>
        </w:rPr>
        <w:t>)</w:t>
      </w:r>
      <w:r w:rsidRPr="002A3488">
        <w:rPr>
          <w:sz w:val="24"/>
          <w:szCs w:val="24"/>
        </w:rPr>
        <w:t xml:space="preserve"> </w:t>
      </w:r>
      <w:r w:rsidRPr="002A3488">
        <w:rPr>
          <w:noProof/>
          <w:sz w:val="24"/>
          <w:szCs w:val="24"/>
        </w:rPr>
        <w:drawing>
          <wp:inline distT="0" distB="0" distL="0" distR="0" wp14:anchorId="0A5F938A" wp14:editId="0FABD62D">
            <wp:extent cx="1195705" cy="180975"/>
            <wp:effectExtent l="0" t="0" r="4445" b="9525"/>
            <wp:docPr id="277490717" name="Imagem 4">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043" name="Imagem 4">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5705" cy="180975"/>
                    </a:xfrm>
                    <a:prstGeom prst="rect">
                      <a:avLst/>
                    </a:prstGeom>
                    <a:noFill/>
                    <a:ln>
                      <a:noFill/>
                    </a:ln>
                  </pic:spPr>
                </pic:pic>
              </a:graphicData>
            </a:graphic>
          </wp:inline>
        </w:drawing>
      </w:r>
    </w:p>
    <w:p w14:paraId="52C73E49" w14:textId="77777777" w:rsidR="002A3488" w:rsidRPr="002A3488" w:rsidRDefault="002A3488" w:rsidP="002A3488">
      <w:pPr>
        <w:autoSpaceDE w:val="0"/>
        <w:autoSpaceDN w:val="0"/>
        <w:adjustRightInd w:val="0"/>
        <w:rPr>
          <w:sz w:val="24"/>
          <w:szCs w:val="24"/>
        </w:rPr>
      </w:pPr>
    </w:p>
    <w:p w14:paraId="40AD5980" w14:textId="77777777" w:rsidR="002A3488" w:rsidRPr="002E574C" w:rsidRDefault="002A3488" w:rsidP="002E574C">
      <w:pPr>
        <w:rPr>
          <w:sz w:val="24"/>
          <w:szCs w:val="24"/>
        </w:rPr>
      </w:pPr>
      <w:r w:rsidRPr="002A3488">
        <w:rPr>
          <w:b/>
          <w:bCs/>
          <w:sz w:val="24"/>
          <w:szCs w:val="24"/>
        </w:rPr>
        <w:t>ODS:</w:t>
      </w:r>
      <w:r w:rsidRPr="002A3488">
        <w:rPr>
          <w:sz w:val="24"/>
          <w:szCs w:val="24"/>
        </w:rPr>
        <w:t xml:space="preserve"> </w:t>
      </w:r>
      <w:hyperlink r:id="rId18" w:history="1">
        <w:r w:rsidRPr="002A3488">
          <w:rPr>
            <w:color w:val="0000FF"/>
            <w:sz w:val="24"/>
            <w:szCs w:val="24"/>
            <w:u w:val="single"/>
          </w:rPr>
          <w:t>8</w:t>
        </w:r>
      </w:hyperlink>
      <w:r w:rsidRPr="002A3488">
        <w:t xml:space="preserve">, </w:t>
      </w:r>
      <w:hyperlink r:id="rId19" w:history="1">
        <w:r w:rsidRPr="002A3488">
          <w:rPr>
            <w:color w:val="0000FF"/>
            <w:sz w:val="24"/>
            <w:szCs w:val="24"/>
            <w:u w:val="single"/>
          </w:rPr>
          <w:t>10</w:t>
        </w:r>
      </w:hyperlink>
      <w:r w:rsidRPr="002A3488">
        <w:t xml:space="preserve"> </w:t>
      </w:r>
      <w:r w:rsidRPr="002F1221">
        <w:rPr>
          <w:sz w:val="24"/>
          <w:szCs w:val="24"/>
        </w:rPr>
        <w:t>e</w:t>
      </w:r>
      <w:r w:rsidRPr="002A3488">
        <w:t xml:space="preserve"> </w:t>
      </w:r>
      <w:hyperlink r:id="rId20" w:history="1">
        <w:r w:rsidRPr="002A3488">
          <w:rPr>
            <w:color w:val="0000FF"/>
            <w:sz w:val="24"/>
            <w:szCs w:val="24"/>
            <w:u w:val="single"/>
          </w:rPr>
          <w:t>16</w:t>
        </w:r>
      </w:hyperlink>
    </w:p>
    <w:p w14:paraId="554F5B51" w14:textId="77777777" w:rsidR="002A3488" w:rsidRPr="002A3488" w:rsidRDefault="002A3488" w:rsidP="002E574C">
      <w:pPr>
        <w:autoSpaceDE w:val="0"/>
        <w:autoSpaceDN w:val="0"/>
        <w:adjustRightInd w:val="0"/>
        <w:rPr>
          <w:sz w:val="24"/>
          <w:szCs w:val="24"/>
          <w:lang w:eastAsia="en-US"/>
        </w:rPr>
      </w:pPr>
    </w:p>
    <w:p w14:paraId="606F07C4" w14:textId="77777777" w:rsidR="002A3488" w:rsidRPr="002A3488" w:rsidRDefault="002A3488" w:rsidP="002A3488">
      <w:pPr>
        <w:autoSpaceDE w:val="0"/>
        <w:autoSpaceDN w:val="0"/>
        <w:adjustRightInd w:val="0"/>
        <w:spacing w:line="360" w:lineRule="auto"/>
        <w:rPr>
          <w:sz w:val="24"/>
          <w:szCs w:val="24"/>
          <w:lang w:eastAsia="en-US"/>
        </w:rPr>
      </w:pPr>
      <w:r w:rsidRPr="002A3488">
        <w:rPr>
          <w:sz w:val="24"/>
          <w:szCs w:val="24"/>
          <w:lang w:eastAsia="en-US"/>
        </w:rPr>
        <w:t>Tese fixada:</w:t>
      </w:r>
    </w:p>
    <w:p w14:paraId="1E89E623" w14:textId="16D1D22A" w:rsidR="002A3488" w:rsidRPr="002A3488" w:rsidRDefault="002A3488" w:rsidP="002A3488">
      <w:pPr>
        <w:autoSpaceDE w:val="0"/>
        <w:autoSpaceDN w:val="0"/>
        <w:adjustRightInd w:val="0"/>
        <w:spacing w:line="360" w:lineRule="auto"/>
        <w:ind w:firstLine="708"/>
        <w:rPr>
          <w:b/>
          <w:sz w:val="24"/>
          <w:szCs w:val="24"/>
          <w:lang w:eastAsia="en-US"/>
        </w:rPr>
      </w:pPr>
      <w:r w:rsidRPr="002A3488">
        <w:rPr>
          <w:b/>
          <w:sz w:val="24"/>
          <w:szCs w:val="24"/>
          <w:lang w:eastAsia="en-US"/>
        </w:rPr>
        <w:t>“Os servidores que ingressaram no serviço público após a criação do regime complementar, mas que anteriormente ocupavam cargos públicos efetivos em outro ente federativo, sem o rompimento de vínculo com a Administração Pública, têm o direito de optar, nos termos do art. 40, § 16, da Constituição Federal, pelo novo regime de previdência complementar ou de permanecer no sistema previdenciário anterior</w:t>
      </w:r>
      <w:r w:rsidR="003F70AC">
        <w:rPr>
          <w:b/>
          <w:sz w:val="24"/>
          <w:szCs w:val="24"/>
          <w:lang w:eastAsia="en-US"/>
        </w:rPr>
        <w:t>.</w:t>
      </w:r>
      <w:r w:rsidRPr="002A3488">
        <w:rPr>
          <w:b/>
          <w:sz w:val="24"/>
          <w:szCs w:val="24"/>
          <w:lang w:eastAsia="en-US"/>
        </w:rPr>
        <w:t>”</w:t>
      </w:r>
    </w:p>
    <w:p w14:paraId="2B4E90D4" w14:textId="77777777" w:rsidR="002A3488" w:rsidRPr="002A3488" w:rsidRDefault="002A3488" w:rsidP="002A3488">
      <w:pPr>
        <w:autoSpaceDE w:val="0"/>
        <w:autoSpaceDN w:val="0"/>
        <w:adjustRightInd w:val="0"/>
        <w:spacing w:line="360" w:lineRule="auto"/>
        <w:ind w:firstLine="708"/>
        <w:rPr>
          <w:sz w:val="24"/>
          <w:szCs w:val="24"/>
          <w:lang w:eastAsia="en-US"/>
        </w:rPr>
      </w:pPr>
    </w:p>
    <w:p w14:paraId="0016CCC4" w14:textId="77777777" w:rsidR="002A3488" w:rsidRPr="002A3488" w:rsidRDefault="002A3488" w:rsidP="002A3488">
      <w:pPr>
        <w:spacing w:line="360" w:lineRule="auto"/>
        <w:rPr>
          <w:sz w:val="24"/>
          <w:szCs w:val="24"/>
          <w:lang w:eastAsia="en-US"/>
        </w:rPr>
      </w:pPr>
      <w:r w:rsidRPr="002A3488">
        <w:rPr>
          <w:sz w:val="24"/>
          <w:szCs w:val="24"/>
          <w:lang w:eastAsia="en-US"/>
        </w:rPr>
        <w:t>Resumo:</w:t>
      </w:r>
    </w:p>
    <w:p w14:paraId="05BA3414" w14:textId="77777777" w:rsidR="002A3488" w:rsidRPr="002A3488" w:rsidRDefault="002A3488" w:rsidP="002A3488">
      <w:pPr>
        <w:spacing w:line="360" w:lineRule="auto"/>
        <w:ind w:firstLine="708"/>
        <w:rPr>
          <w:b/>
          <w:bCs/>
          <w:sz w:val="24"/>
          <w:szCs w:val="24"/>
          <w:lang w:eastAsia="en-US"/>
        </w:rPr>
      </w:pPr>
      <w:r w:rsidRPr="002A3488">
        <w:rPr>
          <w:b/>
          <w:bCs/>
          <w:sz w:val="24"/>
          <w:szCs w:val="24"/>
          <w:lang w:eastAsia="en-US"/>
        </w:rPr>
        <w:t>Faculta-se ao servidor egresso de ente federado diverso o direito à opção entre regimes de aposentadoria previsto no artigo 40, § 16, da Constituição Federal, tendo em conta a utilização do termo “serviço público” de forma ampla, inexistindo previsão restritiva em relação a pertencer ao mesmo ente federativo.</w:t>
      </w:r>
    </w:p>
    <w:p w14:paraId="536C9192" w14:textId="77777777" w:rsidR="002A3488" w:rsidRPr="002A3488" w:rsidRDefault="002A3488" w:rsidP="002A3488">
      <w:pPr>
        <w:spacing w:line="360" w:lineRule="auto"/>
        <w:ind w:firstLine="708"/>
        <w:rPr>
          <w:bCs/>
          <w:sz w:val="24"/>
          <w:szCs w:val="24"/>
          <w:lang w:eastAsia="en-US"/>
        </w:rPr>
      </w:pPr>
      <w:r w:rsidRPr="002A3488">
        <w:rPr>
          <w:bCs/>
          <w:sz w:val="24"/>
          <w:szCs w:val="24"/>
          <w:lang w:eastAsia="en-US"/>
        </w:rPr>
        <w:t>A Constituição Federal condiciona à prévia e expressa manifestação do servidor a aplicação do regime de previdência complementar àqueles que já haviam ingressado no serviço público antes de sua instituição (1). No âmbito federal, a Lei nº 12.618/2012 instituiu esse regime e permitiu a limitação das aposentadorias e pensões do regime próprio ao teto do Regime Geral de Previdência Social, facultando aos servidores abrangidos pela regra de transição a adesão ao sistema complementar (2).</w:t>
      </w:r>
    </w:p>
    <w:p w14:paraId="07197F47" w14:textId="77777777" w:rsidR="002A3488" w:rsidRPr="002A3488" w:rsidRDefault="002A3488" w:rsidP="002A3488">
      <w:pPr>
        <w:spacing w:line="360" w:lineRule="auto"/>
        <w:ind w:firstLine="708"/>
        <w:rPr>
          <w:bCs/>
          <w:sz w:val="24"/>
          <w:szCs w:val="24"/>
          <w:lang w:eastAsia="en-US"/>
        </w:rPr>
      </w:pPr>
      <w:r w:rsidRPr="002A3488">
        <w:rPr>
          <w:bCs/>
          <w:sz w:val="24"/>
          <w:szCs w:val="24"/>
          <w:lang w:eastAsia="en-US"/>
        </w:rPr>
        <w:t>Nesse contexto, a expressão “serviço público” deve ser compreendida de forma ampla, pois o texto constitucional não restringe sua incidência ao vínculo mantido com determinado ente federativo. Essa interpretação preserva a trajetória funcional e contributiva do servidor e impede que a mudança de cargo entre entes distintos, sem solução de continuidade, resulte na submissão automática a regime previdenciário mais restritivo.</w:t>
      </w:r>
    </w:p>
    <w:p w14:paraId="78348402" w14:textId="77777777" w:rsidR="002A3488" w:rsidRPr="002A3488" w:rsidRDefault="002A3488" w:rsidP="002A3488">
      <w:pPr>
        <w:spacing w:line="360" w:lineRule="auto"/>
        <w:ind w:firstLine="708"/>
        <w:rPr>
          <w:bCs/>
          <w:sz w:val="24"/>
          <w:szCs w:val="24"/>
          <w:lang w:eastAsia="en-US"/>
        </w:rPr>
      </w:pPr>
      <w:r w:rsidRPr="002A3488">
        <w:rPr>
          <w:bCs/>
          <w:sz w:val="24"/>
          <w:szCs w:val="24"/>
          <w:lang w:eastAsia="en-US"/>
        </w:rPr>
        <w:t xml:space="preserve">Na espécie, o servidor ingressou em cargo público municipal em 18 de fevereiro de 2008, antes da instituição do regime de previdência complementar federal. Após exonerar-se </w:t>
      </w:r>
      <w:r w:rsidRPr="002A3488">
        <w:rPr>
          <w:bCs/>
          <w:sz w:val="24"/>
          <w:szCs w:val="24"/>
          <w:lang w:eastAsia="en-US"/>
        </w:rPr>
        <w:lastRenderedPageBreak/>
        <w:t>em 16 de maio de 2013, assumiu cargo público federal no dia seguinte, sem interrupção do vínculo com a Administração Pública. A continuidade funcional atrai a regra de opção prevista no art. 40, § 16, da Constituição, pois a alteração do ente federativo não descaracteriza o ingresso anterior no serviço público nem autoriza a desconsideração das contribuições realizadas sob o regime precedente.</w:t>
      </w:r>
    </w:p>
    <w:p w14:paraId="11B929EE" w14:textId="77777777" w:rsidR="002A3488" w:rsidRPr="002A3488" w:rsidRDefault="002A3488" w:rsidP="002A3488">
      <w:pPr>
        <w:spacing w:line="360" w:lineRule="auto"/>
        <w:ind w:firstLine="708"/>
        <w:rPr>
          <w:bCs/>
          <w:sz w:val="24"/>
          <w:szCs w:val="24"/>
          <w:lang w:eastAsia="en-US"/>
        </w:rPr>
      </w:pPr>
      <w:r w:rsidRPr="002A3488">
        <w:rPr>
          <w:bCs/>
          <w:sz w:val="24"/>
          <w:szCs w:val="24"/>
          <w:lang w:eastAsia="en-US"/>
        </w:rPr>
        <w:t xml:space="preserve">Com base nesses e em outros entendimentos, o Plenário, por unanimidade, ao apreciar o </w:t>
      </w:r>
      <w:hyperlink r:id="rId21" w:history="1">
        <w:r w:rsidRPr="002A3488">
          <w:rPr>
            <w:bCs/>
            <w:color w:val="0000FF"/>
            <w:sz w:val="24"/>
            <w:szCs w:val="24"/>
            <w:u w:val="single"/>
            <w:lang w:eastAsia="en-US"/>
          </w:rPr>
          <w:t>Tema 1.071 da repercussão geral</w:t>
        </w:r>
      </w:hyperlink>
      <w:r w:rsidRPr="002A3488">
        <w:rPr>
          <w:bCs/>
          <w:sz w:val="24"/>
          <w:szCs w:val="24"/>
          <w:lang w:eastAsia="en-US"/>
        </w:rPr>
        <w:t xml:space="preserve">, deu provimento ao recurso extraordinário para reconhecer ao recorrente o direito de opção previsto no art. 40, § 16, da Constituição Federal e fixou a tese anteriormente citada. </w:t>
      </w:r>
    </w:p>
    <w:p w14:paraId="078A43D7" w14:textId="77777777" w:rsidR="002A3488" w:rsidRPr="002A3488" w:rsidRDefault="002A3488" w:rsidP="002A3488">
      <w:pPr>
        <w:spacing w:line="360" w:lineRule="auto"/>
        <w:ind w:firstLine="708"/>
        <w:rPr>
          <w:sz w:val="24"/>
          <w:szCs w:val="24"/>
          <w:lang w:eastAsia="en-US"/>
        </w:rPr>
      </w:pPr>
    </w:p>
    <w:p w14:paraId="5E59414E" w14:textId="5BC8E67C" w:rsidR="002A3488" w:rsidRPr="002A3488" w:rsidRDefault="002A3488" w:rsidP="002A3488">
      <w:pPr>
        <w:spacing w:after="120"/>
        <w:ind w:firstLine="708"/>
        <w:rPr>
          <w:rFonts w:ascii="Arial" w:hAnsi="Arial" w:cs="Arial"/>
          <w:sz w:val="20"/>
          <w:szCs w:val="20"/>
        </w:rPr>
      </w:pPr>
      <w:r w:rsidRPr="002A3488">
        <w:rPr>
          <w:rFonts w:ascii="Arial" w:hAnsi="Arial" w:cs="Arial"/>
          <w:sz w:val="20"/>
          <w:szCs w:val="20"/>
        </w:rPr>
        <w:t xml:space="preserve">(1) </w:t>
      </w:r>
      <w:hyperlink r:id="rId22" w:anchor=":~:text=%C2%A7%2016%20%2D%20Somente%20mediante%20sua%20pr%C3%A9via%20e%20expressa%20op%C3%A7%C3%A3o%2C%20o%20disposto%20nos%C2%A0%20%C2%A7%C2%A7%2014%20e%2015%20poder%C3%A1%20ser%20aplicado%20ao%20servidor%20que%20tiver%20ingressado%20no%20servi%C3%A7o%20p%C3%BAblico%20at%C3%A9%20a%20data%20da%20publica%C3%A7%C3%A3o%20do%20ato%20de%20institui%C3%A7%C3%A3o%20do%20correspondente%20regime%20de%20previd%C3%AAncia%20complementar.%C2%A0" w:history="1">
        <w:r w:rsidRPr="002A3488">
          <w:rPr>
            <w:rFonts w:ascii="Arial" w:hAnsi="Arial" w:cs="Arial"/>
            <w:color w:val="0000FF"/>
            <w:sz w:val="20"/>
            <w:szCs w:val="20"/>
            <w:u w:val="single"/>
          </w:rPr>
          <w:t>CF/1</w:t>
        </w:r>
        <w:r w:rsidRPr="002A3488">
          <w:rPr>
            <w:rFonts w:ascii="Arial" w:hAnsi="Arial" w:cs="Arial"/>
            <w:color w:val="0000FF"/>
            <w:sz w:val="20"/>
            <w:szCs w:val="20"/>
            <w:u w:val="single"/>
          </w:rPr>
          <w:t>9</w:t>
        </w:r>
        <w:r w:rsidRPr="002A3488">
          <w:rPr>
            <w:rFonts w:ascii="Arial" w:hAnsi="Arial" w:cs="Arial"/>
            <w:color w:val="0000FF"/>
            <w:sz w:val="20"/>
            <w:szCs w:val="20"/>
            <w:u w:val="single"/>
          </w:rPr>
          <w:t>88</w:t>
        </w:r>
      </w:hyperlink>
      <w:r w:rsidRPr="002A3488">
        <w:rPr>
          <w:rFonts w:ascii="Arial" w:hAnsi="Arial" w:cs="Arial"/>
          <w:sz w:val="20"/>
          <w:szCs w:val="20"/>
        </w:rPr>
        <w:t>: “Art. 40. O regime próprio de previdência social dos servidores titulares de cargos efetivos terá caráter contributivo e solidário, mediante contribuição do respectivo ente federativo, de servidores ativos, de aposentados e de pensionistas, observados critérios que preservem o equilíbrio financeiro e atuarial. (...) § 16. Somente mediante sua prévia e expressa opção, o disposto nos §§ 14 e 15 poderá ser aplicado ao servidor que tiver ingressado no serviço público até a data da publicação do ato de instituição do correspondente regime de previdência complementar</w:t>
      </w:r>
      <w:r w:rsidR="003F70AC">
        <w:rPr>
          <w:rFonts w:ascii="Arial" w:hAnsi="Arial" w:cs="Arial"/>
          <w:sz w:val="20"/>
          <w:szCs w:val="20"/>
        </w:rPr>
        <w:t>.</w:t>
      </w:r>
      <w:r w:rsidRPr="002A3488">
        <w:rPr>
          <w:rFonts w:ascii="Arial" w:hAnsi="Arial" w:cs="Arial"/>
          <w:sz w:val="20"/>
          <w:szCs w:val="20"/>
        </w:rPr>
        <w:t>”</w:t>
      </w:r>
    </w:p>
    <w:p w14:paraId="212B4200" w14:textId="1D27BA40" w:rsidR="002A3488" w:rsidRPr="002A3488" w:rsidRDefault="002A3488" w:rsidP="002A3488">
      <w:pPr>
        <w:spacing w:after="120"/>
        <w:ind w:firstLine="708"/>
        <w:rPr>
          <w:rFonts w:ascii="Arial" w:hAnsi="Arial" w:cs="Arial"/>
          <w:bCs/>
          <w:sz w:val="20"/>
          <w:szCs w:val="20"/>
        </w:rPr>
      </w:pPr>
      <w:r w:rsidRPr="002A3488">
        <w:rPr>
          <w:rFonts w:ascii="Arial" w:hAnsi="Arial" w:cs="Arial"/>
          <w:sz w:val="20"/>
          <w:szCs w:val="20"/>
        </w:rPr>
        <w:t xml:space="preserve">(2) </w:t>
      </w:r>
      <w:hyperlink r:id="rId23" w:anchor=":~:text=%C2%A7%201%C2%BA%20Os%20servidores,13.183%2C%20de%202015)" w:history="1">
        <w:r w:rsidRPr="002A3488">
          <w:rPr>
            <w:rFonts w:ascii="Arial" w:hAnsi="Arial" w:cs="Arial"/>
            <w:color w:val="0000FF"/>
            <w:sz w:val="20"/>
            <w:szCs w:val="20"/>
            <w:u w:val="single"/>
          </w:rPr>
          <w:t>Lei nº 12.618/2012</w:t>
        </w:r>
      </w:hyperlink>
      <w:r w:rsidRPr="002A3488">
        <w:rPr>
          <w:rFonts w:ascii="Arial" w:hAnsi="Arial" w:cs="Arial"/>
          <w:sz w:val="20"/>
          <w:szCs w:val="20"/>
        </w:rPr>
        <w:t xml:space="preserve">: “Art. 1º É instituído, nos termos desta Lei, o regime de previdência complementar a que se referem os §§ 14, 15 e 16 do art. 40 da Constituição Federal para os servidores públicos titulares de cargo efetivo da União, suas autarquias e fundações, inclusive para os membros do Poder Judiciário, do Ministério Público da União e do Tribunal de Contas da União. § 1º Os servidores e os membros referidos no </w:t>
      </w:r>
      <w:r w:rsidRPr="002A3488">
        <w:rPr>
          <w:rFonts w:ascii="Arial" w:hAnsi="Arial" w:cs="Arial"/>
          <w:i/>
          <w:iCs/>
          <w:sz w:val="20"/>
          <w:szCs w:val="20"/>
        </w:rPr>
        <w:t>caput</w:t>
      </w:r>
      <w:r w:rsidRPr="002A3488">
        <w:rPr>
          <w:rFonts w:ascii="Arial" w:hAnsi="Arial" w:cs="Arial"/>
          <w:sz w:val="20"/>
          <w:szCs w:val="20"/>
        </w:rPr>
        <w:t xml:space="preserve"> deste artigo que tenham ingressado no serviço público até a data anterior ao início da vigência do regime de previdência complementar poderão, mediante prévia e expressa opção, aderir ao regime de que trata este artigo, observado o disposto no art. 3º desta Lei</w:t>
      </w:r>
      <w:r w:rsidR="003F70AC">
        <w:rPr>
          <w:rFonts w:ascii="Arial" w:hAnsi="Arial" w:cs="Arial"/>
          <w:sz w:val="20"/>
          <w:szCs w:val="20"/>
        </w:rPr>
        <w:t>.</w:t>
      </w:r>
      <w:r w:rsidRPr="002A3488">
        <w:rPr>
          <w:rFonts w:ascii="Arial" w:hAnsi="Arial" w:cs="Arial"/>
          <w:sz w:val="20"/>
          <w:szCs w:val="20"/>
        </w:rPr>
        <w:t>”</w:t>
      </w:r>
    </w:p>
    <w:p w14:paraId="138FCCB9" w14:textId="77777777" w:rsidR="002A3488" w:rsidRPr="002A3488" w:rsidRDefault="002A3488" w:rsidP="002A3488">
      <w:pPr>
        <w:spacing w:after="120"/>
        <w:ind w:firstLine="708"/>
        <w:rPr>
          <w:rFonts w:ascii="Arial" w:hAnsi="Arial" w:cs="Arial"/>
          <w:bCs/>
          <w:sz w:val="20"/>
          <w:szCs w:val="20"/>
        </w:rPr>
      </w:pPr>
    </w:p>
    <w:p w14:paraId="0EAD9D11" w14:textId="77777777" w:rsidR="002A3488" w:rsidRPr="002A3488" w:rsidRDefault="002A3488" w:rsidP="002A3488">
      <w:pPr>
        <w:spacing w:line="360" w:lineRule="auto"/>
        <w:rPr>
          <w:sz w:val="24"/>
          <w:szCs w:val="24"/>
          <w:lang w:eastAsia="en-US"/>
        </w:rPr>
      </w:pPr>
      <w:hyperlink r:id="rId24" w:history="1">
        <w:r w:rsidRPr="002A3488">
          <w:rPr>
            <w:color w:val="0000FF"/>
            <w:sz w:val="24"/>
            <w:szCs w:val="24"/>
            <w:u w:val="single"/>
            <w:lang w:eastAsia="en-US"/>
          </w:rPr>
          <w:t>RE 1.050.597/RS, relator Ministro Edson Fachin, julgamento finalizado em 30.09.2026 (quarta-feira)</w:t>
        </w:r>
      </w:hyperlink>
    </w:p>
    <w:p w14:paraId="736A70B6" w14:textId="77D06005" w:rsidR="002A3488" w:rsidRPr="002A3488" w:rsidRDefault="002A3488" w:rsidP="002A3488">
      <w:pPr>
        <w:rPr>
          <w:sz w:val="24"/>
          <w:szCs w:val="24"/>
          <w:lang w:eastAsia="en-US"/>
        </w:rPr>
      </w:pPr>
      <w:r w:rsidRPr="002A3488">
        <w:rPr>
          <w:noProof/>
          <w:sz w:val="24"/>
          <w:szCs w:val="24"/>
        </w:rPr>
        <w:drawing>
          <wp:inline distT="0" distB="0" distL="0" distR="0" wp14:anchorId="4E4422EF" wp14:editId="26FD1992">
            <wp:extent cx="1186180" cy="123825"/>
            <wp:effectExtent l="0" t="0" r="0" b="3175"/>
            <wp:docPr id="1341082124" name="Imagem 2" descr="P:\Informativos\Imagens\03_18px.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82124" name="Imagem 2" descr="P:\Informativos\Imagens\03_18px.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357D63AE" w14:textId="77777777" w:rsidR="002A3488" w:rsidRDefault="002A3488" w:rsidP="00346004">
      <w:pPr>
        <w:pStyle w:val="PargrafodaLista"/>
        <w:autoSpaceDE w:val="0"/>
        <w:autoSpaceDN w:val="0"/>
        <w:adjustRightInd w:val="0"/>
        <w:ind w:left="360"/>
        <w:jc w:val="right"/>
      </w:pPr>
    </w:p>
    <w:p w14:paraId="3BE7EF7E" w14:textId="77777777" w:rsidR="002A3488" w:rsidRDefault="002A3488" w:rsidP="002A3488">
      <w:pPr>
        <w:pStyle w:val="PargrafodaLista"/>
        <w:autoSpaceDE w:val="0"/>
        <w:autoSpaceDN w:val="0"/>
        <w:adjustRightInd w:val="0"/>
        <w:ind w:left="360"/>
        <w:jc w:val="right"/>
      </w:pPr>
      <w:hyperlink w:anchor="SUMÁRIO" w:history="1">
        <w:r w:rsidRPr="00820E09">
          <w:rPr>
            <w:rStyle w:val="Hyperlink"/>
            <w:sz w:val="16"/>
            <w:szCs w:val="16"/>
          </w:rPr>
          <w:t>Sumário</w:t>
        </w:r>
      </w:hyperlink>
    </w:p>
    <w:p w14:paraId="2AE55B2F" w14:textId="77777777" w:rsidR="002A3488" w:rsidRDefault="002A3488" w:rsidP="00346004">
      <w:pPr>
        <w:pStyle w:val="PargrafodaLista"/>
        <w:autoSpaceDE w:val="0"/>
        <w:autoSpaceDN w:val="0"/>
        <w:adjustRightInd w:val="0"/>
        <w:ind w:left="360"/>
        <w:jc w:val="right"/>
      </w:pPr>
    </w:p>
    <w:p w14:paraId="7278FE3B" w14:textId="77777777" w:rsidR="00EC1448" w:rsidRPr="00EC1448" w:rsidRDefault="00EC1448" w:rsidP="00EC1448">
      <w:pPr>
        <w:rPr>
          <w:sz w:val="24"/>
          <w:szCs w:val="24"/>
          <w:lang w:eastAsia="en-US"/>
        </w:rPr>
      </w:pPr>
      <w:r w:rsidRPr="00EC1448">
        <w:rPr>
          <w:sz w:val="24"/>
          <w:szCs w:val="24"/>
          <w:lang w:eastAsia="en-US"/>
        </w:rPr>
        <w:t>DIREITO TRIBUTÁRIO – MULTA TRIBUTÁRIA; DISTRIBUIÇÃO DE LUCROS; DÉBITO NÃO GARANTIDO</w:t>
      </w:r>
    </w:p>
    <w:p w14:paraId="26BE153F" w14:textId="77777777" w:rsidR="00EC1448" w:rsidRPr="00EC1448" w:rsidRDefault="00EC1448" w:rsidP="00EC1448">
      <w:pPr>
        <w:rPr>
          <w:b/>
          <w:bCs/>
          <w:sz w:val="24"/>
          <w:szCs w:val="24"/>
          <w:highlight w:val="yellow"/>
          <w:lang w:eastAsia="en-US"/>
        </w:rPr>
      </w:pPr>
    </w:p>
    <w:p w14:paraId="6541D672" w14:textId="77777777" w:rsidR="00EC1448" w:rsidRPr="00EC1448" w:rsidRDefault="00EC1448" w:rsidP="00EC1448">
      <w:pPr>
        <w:autoSpaceDE w:val="0"/>
        <w:autoSpaceDN w:val="0"/>
        <w:adjustRightInd w:val="0"/>
        <w:rPr>
          <w:sz w:val="24"/>
          <w:szCs w:val="24"/>
          <w:lang w:eastAsia="en-US"/>
        </w:rPr>
      </w:pPr>
      <w:bookmarkStart w:id="5" w:name="lucros"/>
      <w:bookmarkEnd w:id="5"/>
      <w:r w:rsidRPr="00EC1448">
        <w:rPr>
          <w:b/>
          <w:bCs/>
          <w:i/>
          <w:iCs/>
          <w:sz w:val="24"/>
          <w:szCs w:val="24"/>
          <w:lang w:eastAsia="en-US"/>
        </w:rPr>
        <w:t>Aplicação de multa pela distribuição de lucros por pessoas jurídicas em débito não garantido com a União –</w:t>
      </w:r>
      <w:r w:rsidRPr="00EC1448">
        <w:rPr>
          <w:sz w:val="24"/>
          <w:szCs w:val="24"/>
          <w:lang w:eastAsia="en-US"/>
        </w:rPr>
        <w:t xml:space="preserve"> </w:t>
      </w:r>
      <w:hyperlink r:id="rId27" w:history="1">
        <w:r w:rsidRPr="00EC1448">
          <w:rPr>
            <w:sz w:val="24"/>
            <w:szCs w:val="24"/>
          </w:rPr>
          <w:t>ADI 5.161/DF</w:t>
        </w:r>
      </w:hyperlink>
      <w:r w:rsidRPr="00EC1448">
        <w:rPr>
          <w:sz w:val="24"/>
          <w:szCs w:val="24"/>
          <w:lang w:eastAsia="en-US"/>
        </w:rPr>
        <w:t xml:space="preserve"> </w:t>
      </w:r>
      <w:r w:rsidRPr="00EC1448">
        <w:rPr>
          <w:noProof/>
          <w:sz w:val="24"/>
          <w:szCs w:val="24"/>
        </w:rPr>
        <w:drawing>
          <wp:inline distT="0" distB="0" distL="0" distR="0" wp14:anchorId="0ACF4D02" wp14:editId="4DC9ED5D">
            <wp:extent cx="1195705" cy="180975"/>
            <wp:effectExtent l="0" t="0" r="4445" b="9525"/>
            <wp:docPr id="17331043" name="Imagem 4">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043" name="Imagem 4">
                      <a:hlinkClick r:id="rId28"/>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5705" cy="180975"/>
                    </a:xfrm>
                    <a:prstGeom prst="rect">
                      <a:avLst/>
                    </a:prstGeom>
                    <a:noFill/>
                    <a:ln>
                      <a:noFill/>
                    </a:ln>
                  </pic:spPr>
                </pic:pic>
              </a:graphicData>
            </a:graphic>
          </wp:inline>
        </w:drawing>
      </w:r>
    </w:p>
    <w:p w14:paraId="29CCB4F9" w14:textId="77777777" w:rsidR="00EC1448" w:rsidRPr="00EC1448" w:rsidRDefault="00EC1448" w:rsidP="00EC1448">
      <w:pPr>
        <w:autoSpaceDE w:val="0"/>
        <w:autoSpaceDN w:val="0"/>
        <w:adjustRightInd w:val="0"/>
        <w:rPr>
          <w:sz w:val="24"/>
          <w:szCs w:val="24"/>
        </w:rPr>
      </w:pPr>
    </w:p>
    <w:p w14:paraId="2D477AF7" w14:textId="77777777" w:rsidR="00EC1448" w:rsidRPr="00EC1448" w:rsidRDefault="00EC1448" w:rsidP="00EC1448">
      <w:pPr>
        <w:rPr>
          <w:sz w:val="24"/>
          <w:szCs w:val="24"/>
        </w:rPr>
      </w:pPr>
      <w:r w:rsidRPr="00EC1448">
        <w:rPr>
          <w:b/>
          <w:bCs/>
          <w:sz w:val="24"/>
          <w:szCs w:val="24"/>
        </w:rPr>
        <w:t>ODS:</w:t>
      </w:r>
      <w:r w:rsidRPr="00EC1448">
        <w:rPr>
          <w:sz w:val="24"/>
          <w:szCs w:val="24"/>
        </w:rPr>
        <w:t xml:space="preserve"> </w:t>
      </w:r>
      <w:hyperlink r:id="rId29" w:history="1">
        <w:r w:rsidRPr="00EC1448">
          <w:rPr>
            <w:color w:val="0000FF"/>
            <w:sz w:val="24"/>
            <w:szCs w:val="24"/>
            <w:u w:val="single"/>
          </w:rPr>
          <w:t>16</w:t>
        </w:r>
      </w:hyperlink>
    </w:p>
    <w:p w14:paraId="2A452CA6" w14:textId="77777777" w:rsidR="00EC1448" w:rsidRPr="00EC1448" w:rsidRDefault="00EC1448" w:rsidP="003F70AC">
      <w:pPr>
        <w:autoSpaceDE w:val="0"/>
        <w:autoSpaceDN w:val="0"/>
        <w:adjustRightInd w:val="0"/>
        <w:rPr>
          <w:sz w:val="24"/>
          <w:szCs w:val="24"/>
          <w:lang w:eastAsia="en-US"/>
        </w:rPr>
      </w:pPr>
    </w:p>
    <w:p w14:paraId="3ACEAAC1" w14:textId="77777777" w:rsidR="00EC1448" w:rsidRPr="00EC1448" w:rsidRDefault="00EC1448" w:rsidP="00EC1448">
      <w:pPr>
        <w:autoSpaceDE w:val="0"/>
        <w:autoSpaceDN w:val="0"/>
        <w:adjustRightInd w:val="0"/>
        <w:spacing w:line="360" w:lineRule="auto"/>
        <w:rPr>
          <w:sz w:val="24"/>
          <w:szCs w:val="24"/>
          <w:lang w:eastAsia="en-US"/>
        </w:rPr>
      </w:pPr>
      <w:r w:rsidRPr="00EC1448">
        <w:rPr>
          <w:sz w:val="24"/>
          <w:szCs w:val="24"/>
          <w:lang w:eastAsia="en-US"/>
        </w:rPr>
        <w:t>Tese fixada:</w:t>
      </w:r>
    </w:p>
    <w:p w14:paraId="25798EC6" w14:textId="77777777" w:rsidR="00EC1448" w:rsidRPr="00EC1448" w:rsidRDefault="00EC1448" w:rsidP="00EC1448">
      <w:pPr>
        <w:autoSpaceDE w:val="0"/>
        <w:autoSpaceDN w:val="0"/>
        <w:adjustRightInd w:val="0"/>
        <w:spacing w:line="360" w:lineRule="auto"/>
        <w:rPr>
          <w:b/>
          <w:bCs/>
          <w:sz w:val="24"/>
          <w:szCs w:val="24"/>
          <w:lang w:eastAsia="en-US"/>
        </w:rPr>
      </w:pPr>
      <w:r w:rsidRPr="00EC1448">
        <w:rPr>
          <w:sz w:val="24"/>
          <w:szCs w:val="24"/>
          <w:lang w:eastAsia="en-US"/>
        </w:rPr>
        <w:tab/>
      </w:r>
      <w:r w:rsidRPr="00EC1448">
        <w:rPr>
          <w:b/>
          <w:bCs/>
          <w:sz w:val="24"/>
          <w:szCs w:val="24"/>
          <w:lang w:eastAsia="en-US"/>
        </w:rPr>
        <w:t xml:space="preserve">“São constitucionais os </w:t>
      </w:r>
      <w:proofErr w:type="spellStart"/>
      <w:r w:rsidRPr="00EC1448">
        <w:rPr>
          <w:b/>
          <w:bCs/>
          <w:sz w:val="24"/>
          <w:szCs w:val="24"/>
          <w:lang w:eastAsia="en-US"/>
        </w:rPr>
        <w:t>arts</w:t>
      </w:r>
      <w:proofErr w:type="spellEnd"/>
      <w:r w:rsidRPr="00EC1448">
        <w:rPr>
          <w:b/>
          <w:bCs/>
          <w:sz w:val="24"/>
          <w:szCs w:val="24"/>
          <w:lang w:eastAsia="en-US"/>
        </w:rPr>
        <w:t xml:space="preserve">. 32 da Lei nº 4.357/1964 e 52 da Lei nº 8.212/1991, interpretados conforme à Constituição Federal para que a multa pela distribuição de bonificações ou de participação nos lucros somente incida quando, cumulativamente: (i) o crédito tributário estiver definitivamente constituído e inscrito em dívida ativa da </w:t>
      </w:r>
      <w:r w:rsidRPr="00EC1448">
        <w:rPr>
          <w:b/>
          <w:bCs/>
          <w:sz w:val="24"/>
          <w:szCs w:val="24"/>
          <w:lang w:eastAsia="en-US"/>
        </w:rPr>
        <w:lastRenderedPageBreak/>
        <w:t>União; (</w:t>
      </w:r>
      <w:proofErr w:type="spellStart"/>
      <w:r w:rsidRPr="00EC1448">
        <w:rPr>
          <w:b/>
          <w:bCs/>
          <w:sz w:val="24"/>
          <w:szCs w:val="24"/>
          <w:lang w:eastAsia="en-US"/>
        </w:rPr>
        <w:t>ii</w:t>
      </w:r>
      <w:proofErr w:type="spellEnd"/>
      <w:r w:rsidRPr="00EC1448">
        <w:rPr>
          <w:b/>
          <w:bCs/>
          <w:sz w:val="24"/>
          <w:szCs w:val="24"/>
          <w:lang w:eastAsia="en-US"/>
        </w:rPr>
        <w:t>) a exigibilidade do crédito tributário não estiver suspensa por qualquer das causas previstas no art. 151 do Código Tributário Nacional; e (</w:t>
      </w:r>
      <w:proofErr w:type="spellStart"/>
      <w:r w:rsidRPr="00EC1448">
        <w:rPr>
          <w:b/>
          <w:bCs/>
          <w:sz w:val="24"/>
          <w:szCs w:val="24"/>
          <w:lang w:eastAsia="en-US"/>
        </w:rPr>
        <w:t>iii</w:t>
      </w:r>
      <w:proofErr w:type="spellEnd"/>
      <w:r w:rsidRPr="00EC1448">
        <w:rPr>
          <w:b/>
          <w:bCs/>
          <w:sz w:val="24"/>
          <w:szCs w:val="24"/>
          <w:lang w:eastAsia="en-US"/>
        </w:rPr>
        <w:t>) o débito não estiver garantido por qualquer das modalidades previstas no art. 9º da Lei nº 6.830/1980.”</w:t>
      </w:r>
    </w:p>
    <w:p w14:paraId="4367018B" w14:textId="77777777" w:rsidR="00EC1448" w:rsidRPr="00EC1448" w:rsidRDefault="00EC1448" w:rsidP="00EC1448">
      <w:pPr>
        <w:autoSpaceDE w:val="0"/>
        <w:autoSpaceDN w:val="0"/>
        <w:adjustRightInd w:val="0"/>
        <w:spacing w:line="360" w:lineRule="auto"/>
        <w:rPr>
          <w:sz w:val="24"/>
          <w:szCs w:val="24"/>
          <w:lang w:eastAsia="en-US"/>
        </w:rPr>
      </w:pPr>
    </w:p>
    <w:p w14:paraId="61B31380" w14:textId="77777777" w:rsidR="00EC1448" w:rsidRPr="00EC1448" w:rsidRDefault="00EC1448" w:rsidP="00EC1448">
      <w:pPr>
        <w:spacing w:line="360" w:lineRule="auto"/>
        <w:rPr>
          <w:sz w:val="24"/>
          <w:szCs w:val="24"/>
          <w:lang w:eastAsia="en-US"/>
        </w:rPr>
      </w:pPr>
      <w:r w:rsidRPr="00EC1448">
        <w:rPr>
          <w:sz w:val="24"/>
          <w:szCs w:val="24"/>
          <w:lang w:eastAsia="en-US"/>
        </w:rPr>
        <w:t>Resumo:</w:t>
      </w:r>
    </w:p>
    <w:p w14:paraId="2E0005D2" w14:textId="77777777" w:rsidR="00EC1448" w:rsidRPr="00EC1448" w:rsidRDefault="00EC1448" w:rsidP="00EC1448">
      <w:pPr>
        <w:spacing w:line="360" w:lineRule="auto"/>
        <w:ind w:firstLine="708"/>
        <w:rPr>
          <w:b/>
          <w:bCs/>
          <w:sz w:val="24"/>
          <w:szCs w:val="24"/>
          <w:lang w:eastAsia="en-US"/>
        </w:rPr>
      </w:pPr>
      <w:r w:rsidRPr="00EC1448">
        <w:rPr>
          <w:b/>
          <w:bCs/>
          <w:sz w:val="24"/>
          <w:szCs w:val="24"/>
          <w:lang w:eastAsia="en-US"/>
        </w:rPr>
        <w:t>É constitucional – por visar à proteção da arrecadação pública sem configurar sanção política nem embaraçar o livre exercício da atividade econômica, mediante condicionamento legítimo do direito societário à regularidade fiscal – a vedação à distribuição de lucros e bonificações por pessoa jurídica em débito com a Fazenda Pública, desde que a multa somente incida quando, cumulativamente, o crédito estiver definitivamente constituído e inscrito em dívida ativa da União, sua exigibilidade não estiver suspensa e o débito não estiver garantido.</w:t>
      </w:r>
    </w:p>
    <w:p w14:paraId="51EC077B" w14:textId="77777777" w:rsidR="00EC1448" w:rsidRPr="00EC1448" w:rsidRDefault="00EC1448" w:rsidP="00EC1448">
      <w:pPr>
        <w:spacing w:line="360" w:lineRule="auto"/>
        <w:ind w:firstLine="708"/>
        <w:rPr>
          <w:sz w:val="24"/>
          <w:szCs w:val="24"/>
          <w:lang w:eastAsia="en-US"/>
        </w:rPr>
      </w:pPr>
      <w:r w:rsidRPr="00EC1448">
        <w:rPr>
          <w:sz w:val="24"/>
          <w:szCs w:val="24"/>
          <w:lang w:eastAsia="en-US"/>
        </w:rPr>
        <w:t>A vedação busca resguardar a arrecadação e impedir a dilapidação do patrimônio do devedor em detrimento da satisfação de obrigações tributárias. Essa restrição não viola a ordem econômica e a livre iniciativa, as quais não ostentam caráter absoluto e admitem condicionamentos legais em prol do bem-estar coletivo e do adimplemento fiscal.</w:t>
      </w:r>
    </w:p>
    <w:p w14:paraId="66E7CA61" w14:textId="77777777" w:rsidR="00EC1448" w:rsidRPr="00EC1448" w:rsidRDefault="00EC1448" w:rsidP="00EC1448">
      <w:pPr>
        <w:spacing w:line="360" w:lineRule="auto"/>
        <w:ind w:firstLine="708"/>
        <w:rPr>
          <w:sz w:val="24"/>
          <w:szCs w:val="24"/>
          <w:lang w:eastAsia="en-US"/>
        </w:rPr>
      </w:pPr>
      <w:r w:rsidRPr="00EC1448">
        <w:rPr>
          <w:sz w:val="24"/>
          <w:szCs w:val="24"/>
          <w:lang w:eastAsia="en-US"/>
        </w:rPr>
        <w:t>Diferentemente dos cenários clássicos de sanções políticas inviabilizadoras do exercício da atividade empresarial (1), a proibição examinada recai apenas sobre a distribuição de lucros e a remuneração do capital, sem obstar o funcionamento regular da empresa. Afasta-se, contudo, a analogia com a regra de presunção de fraude à execução (2), haja vista que a própria legislação tributária já estabelece os vetores técnicos para definir o alcance da expressão “débito não garantido”.</w:t>
      </w:r>
    </w:p>
    <w:p w14:paraId="654BDD21" w14:textId="77777777" w:rsidR="00EC1448" w:rsidRPr="00EC1448" w:rsidRDefault="00EC1448" w:rsidP="00EC1448">
      <w:pPr>
        <w:spacing w:line="360" w:lineRule="auto"/>
        <w:ind w:firstLine="708"/>
        <w:rPr>
          <w:sz w:val="24"/>
          <w:szCs w:val="24"/>
          <w:lang w:eastAsia="en-US"/>
        </w:rPr>
      </w:pPr>
      <w:r w:rsidRPr="00EC1448">
        <w:rPr>
          <w:sz w:val="24"/>
          <w:szCs w:val="24"/>
          <w:lang w:eastAsia="en-US"/>
        </w:rPr>
        <w:t>Nesse contexto, a penalidade não pode fundamentar-se em mera provisão contábil, ficando afastada a orientação do art. 263, § 2º, da Instrução Normativa RFB nº 2.110/2022 (3), porquanto a escrituração interna do passivo reflete estimativa econômica, mas não constitui crédito tributário pelo lançamento (4) nem consubstancia confissão de dívida (5). Assim, para a aplicação legítima da multa, exige-se a presença concomitante de três pressupostos: (i) crédito tributário definitivamente constituído e inscrito em dívida ativa da União; (</w:t>
      </w:r>
      <w:proofErr w:type="spellStart"/>
      <w:r w:rsidRPr="00EC1448">
        <w:rPr>
          <w:sz w:val="24"/>
          <w:szCs w:val="24"/>
          <w:lang w:eastAsia="en-US"/>
        </w:rPr>
        <w:t>ii</w:t>
      </w:r>
      <w:proofErr w:type="spellEnd"/>
      <w:r w:rsidRPr="00EC1448">
        <w:rPr>
          <w:sz w:val="24"/>
          <w:szCs w:val="24"/>
          <w:lang w:eastAsia="en-US"/>
        </w:rPr>
        <w:t>) exigibilidade do crédito não suspensa por qualquer das hipóteses legais (6); e (</w:t>
      </w:r>
      <w:proofErr w:type="spellStart"/>
      <w:r w:rsidRPr="00EC1448">
        <w:rPr>
          <w:sz w:val="24"/>
          <w:szCs w:val="24"/>
          <w:lang w:eastAsia="en-US"/>
        </w:rPr>
        <w:t>iii</w:t>
      </w:r>
      <w:proofErr w:type="spellEnd"/>
      <w:r w:rsidRPr="00EC1448">
        <w:rPr>
          <w:sz w:val="24"/>
          <w:szCs w:val="24"/>
          <w:lang w:eastAsia="en-US"/>
        </w:rPr>
        <w:t>) ausência de garantia prestada nos termos da execução fiscal (7).</w:t>
      </w:r>
    </w:p>
    <w:p w14:paraId="2A6F186D" w14:textId="77777777" w:rsidR="00EC1448" w:rsidRPr="00EC1448" w:rsidRDefault="00EC1448" w:rsidP="00EC1448">
      <w:pPr>
        <w:spacing w:line="360" w:lineRule="auto"/>
        <w:ind w:firstLine="708"/>
        <w:rPr>
          <w:sz w:val="24"/>
          <w:szCs w:val="24"/>
          <w:lang w:eastAsia="en-US"/>
        </w:rPr>
      </w:pPr>
      <w:r w:rsidRPr="00EC1448">
        <w:rPr>
          <w:sz w:val="24"/>
          <w:szCs w:val="24"/>
          <w:lang w:eastAsia="en-US"/>
        </w:rPr>
        <w:t xml:space="preserve">Com base nesses e em outros entendimentos, o Plenário, por maioria, julgou parcialmente procedente o pedido para conferir interpretação conforme à Constituição Federal ao </w:t>
      </w:r>
      <w:hyperlink r:id="rId30" w:anchor=":~:text=(VETADO).-,Art%2032.,-As%20pessoas%20jur%C3%ADdicas" w:history="1">
        <w:r w:rsidRPr="00EC1448">
          <w:rPr>
            <w:color w:val="0000FF"/>
            <w:sz w:val="24"/>
            <w:szCs w:val="24"/>
            <w:u w:val="single"/>
            <w:lang w:eastAsia="en-US"/>
          </w:rPr>
          <w:t>art. 32 da Lei nº 4.357/1964</w:t>
        </w:r>
      </w:hyperlink>
      <w:r w:rsidRPr="00EC1448">
        <w:rPr>
          <w:sz w:val="24"/>
          <w:szCs w:val="24"/>
          <w:lang w:eastAsia="en-US"/>
        </w:rPr>
        <w:t xml:space="preserve"> (8) e ao </w:t>
      </w:r>
      <w:hyperlink r:id="rId31" w:anchor=":~:text=449%2C%20de%202008)-,Art.%2052,-.%C2%A0%20%C3%80s%20empresas%2C%20enquanto" w:history="1">
        <w:r w:rsidRPr="00EC1448">
          <w:rPr>
            <w:color w:val="0000FF"/>
            <w:sz w:val="24"/>
            <w:szCs w:val="24"/>
            <w:u w:val="single"/>
            <w:lang w:eastAsia="en-US"/>
          </w:rPr>
          <w:t>art. 52 da Lei nº 8.212/1991</w:t>
        </w:r>
      </w:hyperlink>
      <w:r w:rsidRPr="00EC1448">
        <w:rPr>
          <w:sz w:val="24"/>
          <w:szCs w:val="24"/>
          <w:lang w:eastAsia="en-US"/>
        </w:rPr>
        <w:t xml:space="preserve"> (9), com a fixação da tese anteriormente citada.</w:t>
      </w:r>
    </w:p>
    <w:p w14:paraId="0308D47C" w14:textId="77777777" w:rsidR="00EC1448" w:rsidRPr="00EC1448" w:rsidRDefault="00EC1448" w:rsidP="00EC1448">
      <w:pPr>
        <w:spacing w:after="120"/>
        <w:ind w:firstLine="708"/>
        <w:rPr>
          <w:sz w:val="24"/>
          <w:szCs w:val="24"/>
        </w:rPr>
      </w:pPr>
      <w:bookmarkStart w:id="6" w:name="_Hlk120041969"/>
    </w:p>
    <w:p w14:paraId="04CC4615" w14:textId="77777777"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t xml:space="preserve">(1) Enunciados sumulares citados: </w:t>
      </w:r>
      <w:hyperlink r:id="rId32" w:history="1">
        <w:r w:rsidRPr="00EC1448">
          <w:rPr>
            <w:rFonts w:ascii="Arial" w:hAnsi="Arial" w:cs="Arial"/>
            <w:color w:val="0000FF"/>
            <w:sz w:val="20"/>
            <w:szCs w:val="20"/>
            <w:u w:val="single"/>
          </w:rPr>
          <w:t>Súmula 70/STF</w:t>
        </w:r>
      </w:hyperlink>
      <w:r w:rsidRPr="00EC1448">
        <w:rPr>
          <w:rFonts w:ascii="Arial" w:hAnsi="Arial" w:cs="Arial"/>
          <w:sz w:val="20"/>
          <w:szCs w:val="20"/>
        </w:rPr>
        <w:t xml:space="preserve">, </w:t>
      </w:r>
      <w:hyperlink r:id="rId33" w:history="1">
        <w:r w:rsidRPr="00EC1448">
          <w:rPr>
            <w:rFonts w:ascii="Arial" w:hAnsi="Arial" w:cs="Arial"/>
            <w:color w:val="0000FF"/>
            <w:sz w:val="20"/>
            <w:szCs w:val="20"/>
            <w:u w:val="single"/>
          </w:rPr>
          <w:t>Súmula 323/STF</w:t>
        </w:r>
      </w:hyperlink>
      <w:r w:rsidRPr="00EC1448">
        <w:rPr>
          <w:rFonts w:ascii="Arial" w:hAnsi="Arial" w:cs="Arial"/>
          <w:sz w:val="20"/>
          <w:szCs w:val="20"/>
        </w:rPr>
        <w:t xml:space="preserve"> e </w:t>
      </w:r>
      <w:hyperlink r:id="rId34" w:history="1">
        <w:r w:rsidRPr="00EC1448">
          <w:rPr>
            <w:rFonts w:ascii="Arial" w:hAnsi="Arial" w:cs="Arial"/>
            <w:color w:val="0000FF"/>
            <w:sz w:val="20"/>
            <w:szCs w:val="20"/>
            <w:u w:val="single"/>
          </w:rPr>
          <w:t>Súmula 547/STF</w:t>
        </w:r>
      </w:hyperlink>
      <w:r w:rsidRPr="00EC1448">
        <w:rPr>
          <w:rFonts w:ascii="Arial" w:hAnsi="Arial" w:cs="Arial"/>
          <w:sz w:val="20"/>
          <w:szCs w:val="20"/>
        </w:rPr>
        <w:t xml:space="preserve">. </w:t>
      </w:r>
    </w:p>
    <w:p w14:paraId="2BA94D7A" w14:textId="1C5C9D90"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t xml:space="preserve">(2) </w:t>
      </w:r>
      <w:hyperlink r:id="rId35" w:anchor=":~:text=declare%20absolutamente%20impenhor%C3%A1veis.-,Art.%20185,-.%20Presume%2Dse%20fraudulenta" w:history="1">
        <w:r w:rsidRPr="00EC1448">
          <w:rPr>
            <w:rFonts w:ascii="Arial" w:hAnsi="Arial" w:cs="Arial"/>
            <w:color w:val="0000FF"/>
            <w:sz w:val="20"/>
            <w:szCs w:val="20"/>
            <w:u w:val="single"/>
          </w:rPr>
          <w:t>CTN</w:t>
        </w:r>
      </w:hyperlink>
      <w:r w:rsidRPr="00EC1448">
        <w:rPr>
          <w:rFonts w:ascii="Arial" w:hAnsi="Arial" w:cs="Arial"/>
          <w:sz w:val="20"/>
          <w:szCs w:val="20"/>
        </w:rPr>
        <w:t xml:space="preserve">: “Art. 185. Presume-se fraudulenta a alienação ou oneração de bens ou rendas, ou seu começo, por sujeito passivo em débito para com a Fazenda Pública, por crédito tributário regularmente inscrito como dívida ativa. (Redação dada pela </w:t>
      </w:r>
      <w:proofErr w:type="spellStart"/>
      <w:r w:rsidRPr="00EC1448">
        <w:rPr>
          <w:rFonts w:ascii="Arial" w:hAnsi="Arial" w:cs="Arial"/>
          <w:sz w:val="20"/>
          <w:szCs w:val="20"/>
        </w:rPr>
        <w:t>Lcp</w:t>
      </w:r>
      <w:proofErr w:type="spellEnd"/>
      <w:r w:rsidRPr="00EC1448">
        <w:rPr>
          <w:rFonts w:ascii="Arial" w:hAnsi="Arial" w:cs="Arial"/>
          <w:sz w:val="20"/>
          <w:szCs w:val="20"/>
        </w:rPr>
        <w:t xml:space="preserve"> nº 118, de 2005) Parágrafo único. O disposto neste artigo não se aplica na hipótese de terem sido reservados, pelo devedor, bens ou rendas suficientes ao total pagamento da dívida inscrita. </w:t>
      </w:r>
      <w:r w:rsidRPr="00B83821">
        <w:rPr>
          <w:rFonts w:ascii="Arial" w:hAnsi="Arial" w:cs="Arial"/>
          <w:sz w:val="20"/>
          <w:szCs w:val="20"/>
        </w:rPr>
        <w:t xml:space="preserve">(Redação dada pela </w:t>
      </w:r>
      <w:proofErr w:type="spellStart"/>
      <w:r w:rsidRPr="00B83821">
        <w:rPr>
          <w:rFonts w:ascii="Arial" w:hAnsi="Arial" w:cs="Arial"/>
          <w:sz w:val="20"/>
          <w:szCs w:val="20"/>
        </w:rPr>
        <w:t>Lcp</w:t>
      </w:r>
      <w:proofErr w:type="spellEnd"/>
      <w:r w:rsidRPr="00B83821">
        <w:rPr>
          <w:rFonts w:ascii="Arial" w:hAnsi="Arial" w:cs="Arial"/>
          <w:sz w:val="20"/>
          <w:szCs w:val="20"/>
        </w:rPr>
        <w:t xml:space="preserve"> nº 118, de 2005)”</w:t>
      </w:r>
    </w:p>
    <w:p w14:paraId="190E147C" w14:textId="00E97620"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t xml:space="preserve">(3) </w:t>
      </w:r>
      <w:hyperlink r:id="rId36" w:anchor=":~:text=art.%2032%2C%20%C2%A7%202%C2%BA)-,%C2%A7%202%C2%BA,-Consideram%2Dse%20d%C3%A9bitos" w:history="1">
        <w:r w:rsidRPr="00EC1448">
          <w:rPr>
            <w:rFonts w:ascii="Arial" w:hAnsi="Arial" w:cs="Arial"/>
            <w:color w:val="0000FF"/>
            <w:sz w:val="20"/>
            <w:szCs w:val="20"/>
            <w:u w:val="single"/>
          </w:rPr>
          <w:t>Instrução Normativa RFB nº 2.110/2022</w:t>
        </w:r>
      </w:hyperlink>
      <w:r w:rsidRPr="00EC1448">
        <w:rPr>
          <w:rFonts w:ascii="Arial" w:hAnsi="Arial" w:cs="Arial"/>
          <w:sz w:val="20"/>
          <w:szCs w:val="20"/>
        </w:rPr>
        <w:t xml:space="preserve">: “Art. 263. </w:t>
      </w:r>
      <w:r w:rsidR="003F70AC">
        <w:rPr>
          <w:rFonts w:ascii="Arial" w:hAnsi="Arial" w:cs="Arial"/>
          <w:sz w:val="20"/>
          <w:szCs w:val="20"/>
        </w:rPr>
        <w:t>(</w:t>
      </w:r>
      <w:r w:rsidRPr="00EC1448">
        <w:rPr>
          <w:rFonts w:ascii="Arial" w:hAnsi="Arial" w:cs="Arial"/>
          <w:sz w:val="20"/>
          <w:szCs w:val="20"/>
        </w:rPr>
        <w:t>...</w:t>
      </w:r>
      <w:r w:rsidR="003F70AC">
        <w:rPr>
          <w:rFonts w:ascii="Arial" w:hAnsi="Arial" w:cs="Arial"/>
          <w:sz w:val="20"/>
          <w:szCs w:val="20"/>
        </w:rPr>
        <w:t>)</w:t>
      </w:r>
      <w:r w:rsidRPr="00EC1448">
        <w:rPr>
          <w:rFonts w:ascii="Arial" w:hAnsi="Arial" w:cs="Arial"/>
          <w:sz w:val="20"/>
          <w:szCs w:val="20"/>
        </w:rPr>
        <w:t xml:space="preserve"> § 2º Consideram-se débitos, para fins das multas previstas nos incisos V e VI do caput, desde que não estejam com a exigibilidade suspensa, os constituídos mediante Notificação de Lançamento e Auto de Infração transitados em julgado na fase administrativa e LDC inscrito em dívida ativa, os valores lançados em documentos de natureza declaratória não recolhidos e a provisão contábil de contribuições sociais previdenciárias não recolhidas.”</w:t>
      </w:r>
    </w:p>
    <w:p w14:paraId="4C34951A" w14:textId="77777777"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t xml:space="preserve">(4) </w:t>
      </w:r>
      <w:hyperlink r:id="rId37" w:anchor=":~:text=Lan%C3%A7amento-,Art.%20142,-.%20Compete%20privativamente%20%C3%A0" w:history="1">
        <w:r w:rsidRPr="00EC1448">
          <w:rPr>
            <w:rFonts w:ascii="Arial" w:hAnsi="Arial" w:cs="Arial"/>
            <w:color w:val="0000FF"/>
            <w:sz w:val="20"/>
            <w:szCs w:val="20"/>
            <w:u w:val="single"/>
          </w:rPr>
          <w:t>CTN</w:t>
        </w:r>
      </w:hyperlink>
      <w:r w:rsidRPr="00EC1448">
        <w:rPr>
          <w:rFonts w:ascii="Arial" w:hAnsi="Arial" w:cs="Arial"/>
          <w:sz w:val="20"/>
          <w:szCs w:val="20"/>
        </w:rPr>
        <w:t>: “Art. 142. Compete privativamente à autoridade administrativa constituir o crédito tributário pelo lançamento, assim entendido o procedimento administrativo tendente a verificar a ocorrência do fato gerador da obrigação correspondente, determinar a matéria tributável, calcular o montante do tributo devido, identificar o sujeito passivo e, sendo o caso, propor a aplicação da penalidade cabível.”</w:t>
      </w:r>
    </w:p>
    <w:p w14:paraId="1848E38C" w14:textId="77777777"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t xml:space="preserve">(5) Enunciado sumular citado: </w:t>
      </w:r>
      <w:hyperlink r:id="rId38" w:history="1">
        <w:r w:rsidRPr="00EC1448">
          <w:rPr>
            <w:rFonts w:ascii="Arial" w:hAnsi="Arial" w:cs="Arial"/>
            <w:color w:val="0000FF"/>
            <w:sz w:val="20"/>
            <w:szCs w:val="20"/>
            <w:u w:val="single"/>
          </w:rPr>
          <w:t>Súmula 436/STJ</w:t>
        </w:r>
      </w:hyperlink>
      <w:r w:rsidRPr="00EC1448">
        <w:rPr>
          <w:rFonts w:ascii="Arial" w:hAnsi="Arial" w:cs="Arial"/>
          <w:sz w:val="20"/>
          <w:szCs w:val="20"/>
        </w:rPr>
        <w:t xml:space="preserve">. </w:t>
      </w:r>
    </w:p>
    <w:p w14:paraId="3F4E2C9B" w14:textId="77777777"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t xml:space="preserve">(6) </w:t>
      </w:r>
      <w:hyperlink r:id="rId39" w:anchor=":~:text=Disposi%C3%A7%C3%B5es%20Gerais-,Art.%20151,-.%20Suspendem%20a%20exigibilidade" w:history="1">
        <w:r w:rsidRPr="00EC1448">
          <w:rPr>
            <w:rFonts w:ascii="Arial" w:hAnsi="Arial" w:cs="Arial"/>
            <w:color w:val="0000FF"/>
            <w:sz w:val="20"/>
            <w:szCs w:val="20"/>
            <w:u w:val="single"/>
          </w:rPr>
          <w:t>CTN</w:t>
        </w:r>
      </w:hyperlink>
      <w:r w:rsidRPr="00EC1448">
        <w:rPr>
          <w:rFonts w:ascii="Arial" w:hAnsi="Arial" w:cs="Arial"/>
          <w:sz w:val="20"/>
          <w:szCs w:val="20"/>
        </w:rPr>
        <w:t xml:space="preserve">: “Art. 151. Suspendem a exigibilidade do crédito tributário: I - moratória; II - o depósito do seu montante integral; III - as impugnações, os recursos e a manifestação de inconformidade, nos termos das leis reguladoras do processo tributário administrativo; (Redação dada pela Lei Complementar nº 236, de 2026) IV - a concessão de medida liminar em mandado de segurança. V - </w:t>
      </w:r>
      <w:proofErr w:type="gramStart"/>
      <w:r w:rsidRPr="00EC1448">
        <w:rPr>
          <w:rFonts w:ascii="Arial" w:hAnsi="Arial" w:cs="Arial"/>
          <w:sz w:val="20"/>
          <w:szCs w:val="20"/>
        </w:rPr>
        <w:t>a</w:t>
      </w:r>
      <w:proofErr w:type="gramEnd"/>
      <w:r w:rsidRPr="00EC1448">
        <w:rPr>
          <w:rFonts w:ascii="Arial" w:hAnsi="Arial" w:cs="Arial"/>
          <w:sz w:val="20"/>
          <w:szCs w:val="20"/>
        </w:rPr>
        <w:t xml:space="preserve"> concessão de medida liminar ou de tutela provisória, em outras espécies de ação judicial; (Redação dada pela Lei Complementar nº 236, de 2026) VI - o parcelamento. (Incluído pela </w:t>
      </w:r>
      <w:proofErr w:type="spellStart"/>
      <w:r w:rsidRPr="00EC1448">
        <w:rPr>
          <w:rFonts w:ascii="Arial" w:hAnsi="Arial" w:cs="Arial"/>
          <w:sz w:val="20"/>
          <w:szCs w:val="20"/>
        </w:rPr>
        <w:t>Lcp</w:t>
      </w:r>
      <w:proofErr w:type="spellEnd"/>
      <w:r w:rsidRPr="00EC1448">
        <w:rPr>
          <w:rFonts w:ascii="Arial" w:hAnsi="Arial" w:cs="Arial"/>
          <w:sz w:val="20"/>
          <w:szCs w:val="20"/>
        </w:rPr>
        <w:t xml:space="preserve"> nº 104, de 2001) VII - a instituição da arbitragem especial tributária e aduaneira, nos termos da legislação específica; (Incluído pela Lei Complementar nº 236, de 2026) VIII - a proposta de transação aceita pela administração, nos termos da legislação específica; (Incluído pela Lei Complementar nº 236, de 2026) IX - o acordo decorrente de mediação, até a sua eventual dissolução, nos termos da legislação específica; (Incluído pela Lei Complementar nº 236, de 2026) X - a aceitação, pelo credor, nos termos da regulamentação estabelecida pelos órgãos de cobrança judicial dos créditos tributários, de apólice de seguro garantia ou de carta de fiança bancária oferecidas em execução fiscal, inclusive quando convencionadas por meio de negócio jurídico processual, enquanto estiverem em conformidade com as normas que regem sua aceitação e enquanto não caracterizada hipótese de sinistro. (Incluído pela Lei Complementar nº 236, de 2026)”</w:t>
      </w:r>
    </w:p>
    <w:p w14:paraId="3511F95F" w14:textId="77777777"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t xml:space="preserve">(7) </w:t>
      </w:r>
      <w:hyperlink r:id="rId40" w:anchor=":~:text=interrompe%20a%20prescri%C3%A7%C3%A3o.-,Art.%209%C2%BA,-%2D%20Em%20garantia%20da" w:history="1">
        <w:r w:rsidRPr="00EC1448">
          <w:rPr>
            <w:rFonts w:ascii="Arial" w:hAnsi="Arial" w:cs="Arial"/>
            <w:color w:val="0000FF"/>
            <w:sz w:val="20"/>
            <w:szCs w:val="20"/>
            <w:u w:val="single"/>
          </w:rPr>
          <w:t>Lei nº 6.830/1980</w:t>
        </w:r>
      </w:hyperlink>
      <w:r w:rsidRPr="00EC1448">
        <w:rPr>
          <w:rFonts w:ascii="Arial" w:hAnsi="Arial" w:cs="Arial"/>
          <w:sz w:val="20"/>
          <w:szCs w:val="20"/>
        </w:rPr>
        <w:t xml:space="preserve">: “Art. 9º Em garantia da execução, pelo valor da dívida, juros e multa de mora e encargos indicados na Certidão de Dívida Ativa, o executado poderá: I - efetuar depósito em dinheiro, à ordem do Juízo em estabelecimento oficial de crédito, que assegure atualização monetária; II - oferecer fiança bancária ou seguro garantia; (Redação dada pela Lei nº 13.043, de 2014) III - nomear bens à penhora, observada a ordem do artigo 11; ou IV - indicar à penhora bens oferecidos por terceiros e aceitos pela Fazenda Pública.” </w:t>
      </w:r>
    </w:p>
    <w:p w14:paraId="0D987ACC" w14:textId="77777777"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t xml:space="preserve">(8) </w:t>
      </w:r>
      <w:hyperlink r:id="rId41" w:anchor=":~:text=(VETADO).-,Art%2032.,-As%20pessoas%20jur%C3%ADdicas" w:history="1">
        <w:r w:rsidRPr="00EC1448">
          <w:rPr>
            <w:rFonts w:ascii="Arial" w:hAnsi="Arial" w:cs="Arial"/>
            <w:color w:val="0000FF"/>
            <w:sz w:val="20"/>
            <w:szCs w:val="20"/>
            <w:u w:val="single"/>
          </w:rPr>
          <w:t>Lei nº 4.357/1964</w:t>
        </w:r>
      </w:hyperlink>
      <w:r w:rsidRPr="00EC1448">
        <w:rPr>
          <w:rFonts w:ascii="Arial" w:hAnsi="Arial" w:cs="Arial"/>
          <w:sz w:val="20"/>
          <w:szCs w:val="20"/>
        </w:rPr>
        <w:t xml:space="preserve">: “Art. 32. As pessoas jurídicas, enquanto estiverem em débito, não garantido, para com a União e suas autarquias de Previdência e Assistência Social, por falta de recolhimento de imposto, taxa ou contribuição, no prazo legal, não poderão: a) distribuir ... (VETADO) ... quaisquer bonificações a seus acionistas; b) dar ou atribuir participação de lucros a seus sócios ou quotistas, bem como a seus diretores e demais membros de órgãos dirigentes, fiscais ou consultivos; § 1º A inobservância do disposto neste artigo importa em multa que será imposta: (Redação dada pela Lei nº 11.051, de 2004) I - às pessoas jurídicas que distribuírem ou pagarem bonificações ou remunerações, em montante igual a 50% (cinquenta por cento) das quantias distribuídas ou pagas indevidamente; e II - aos diretores e demais membros da administração superior que receberem as importâncias indevidas, em montante igual a 50% (cinquenta por cento) dessas importâncias. (Redação dada pela Lei nº 11.051, de 2004) § 2º A multa referida nos incisos I e II do § 1º deste artigo fica limitada, respectivamente, a 50% (cinquenta por cento) do valor total do débito não garantido da pessoa jurídica. (Incluído pela Lei nº 11.051, de 2004)” </w:t>
      </w:r>
    </w:p>
    <w:p w14:paraId="2DAB89F3" w14:textId="77777777" w:rsidR="00EC1448" w:rsidRPr="00EC1448" w:rsidRDefault="00EC1448" w:rsidP="00EC1448">
      <w:pPr>
        <w:spacing w:after="120"/>
        <w:ind w:firstLine="709"/>
        <w:rPr>
          <w:rFonts w:ascii="Arial" w:hAnsi="Arial" w:cs="Arial"/>
          <w:sz w:val="20"/>
          <w:szCs w:val="20"/>
        </w:rPr>
      </w:pPr>
      <w:r w:rsidRPr="00EC1448">
        <w:rPr>
          <w:rFonts w:ascii="Arial" w:hAnsi="Arial" w:cs="Arial"/>
          <w:sz w:val="20"/>
          <w:szCs w:val="20"/>
        </w:rPr>
        <w:lastRenderedPageBreak/>
        <w:t xml:space="preserve">(9) </w:t>
      </w:r>
      <w:hyperlink r:id="rId42" w:anchor=":~:text=449%2C%20de%202008)-,Art.%2052,-.%C2%A0%20%C3%80s%20empresas%2C%20enquanto" w:history="1">
        <w:r w:rsidRPr="00EC1448">
          <w:rPr>
            <w:rFonts w:ascii="Arial" w:hAnsi="Arial" w:cs="Arial"/>
            <w:color w:val="0000FF"/>
            <w:sz w:val="20"/>
            <w:szCs w:val="20"/>
            <w:u w:val="single"/>
          </w:rPr>
          <w:t>Lei nº 8.212/1991</w:t>
        </w:r>
      </w:hyperlink>
      <w:r w:rsidRPr="00EC1448">
        <w:rPr>
          <w:rFonts w:ascii="Arial" w:hAnsi="Arial" w:cs="Arial"/>
          <w:sz w:val="20"/>
          <w:szCs w:val="20"/>
        </w:rPr>
        <w:t xml:space="preserve">: “Art. 52. Às empresas, enquanto estiverem em débito não garantido com a União, aplica-se o disposto no art. 32 da Lei nº 4.357, de 16 de julho de 1964. (Redação dada pela Lei nº 11.941, de 2009)” </w:t>
      </w:r>
    </w:p>
    <w:p w14:paraId="28D7FEB4" w14:textId="77777777" w:rsidR="00EC1448" w:rsidRPr="00EC1448" w:rsidRDefault="00EC1448" w:rsidP="00EC1448">
      <w:pPr>
        <w:ind w:firstLine="709"/>
        <w:contextualSpacing/>
        <w:rPr>
          <w:sz w:val="24"/>
          <w:szCs w:val="24"/>
          <w:lang w:eastAsia="en-US"/>
        </w:rPr>
      </w:pPr>
    </w:p>
    <w:bookmarkEnd w:id="6"/>
    <w:p w14:paraId="0153078D" w14:textId="77777777" w:rsidR="00EC1448" w:rsidRPr="00EC1448" w:rsidRDefault="00EC1448" w:rsidP="00EC1448">
      <w:pPr>
        <w:spacing w:line="360" w:lineRule="auto"/>
        <w:rPr>
          <w:color w:val="0000FF"/>
          <w:sz w:val="24"/>
          <w:szCs w:val="24"/>
          <w:u w:val="single"/>
        </w:rPr>
      </w:pPr>
      <w:r w:rsidRPr="00EC1448">
        <w:rPr>
          <w:sz w:val="24"/>
          <w:szCs w:val="24"/>
        </w:rPr>
        <w:fldChar w:fldCharType="begin"/>
      </w:r>
      <w:r w:rsidRPr="00EC1448">
        <w:rPr>
          <w:sz w:val="24"/>
          <w:szCs w:val="24"/>
        </w:rPr>
        <w:instrText>HYPERLINK "https://portal.stf.jus.br/processos/detalhe.asp?incidente=4629263"</w:instrText>
      </w:r>
      <w:r w:rsidRPr="00EC1448">
        <w:rPr>
          <w:sz w:val="24"/>
          <w:szCs w:val="24"/>
        </w:rPr>
      </w:r>
      <w:r w:rsidRPr="00EC1448">
        <w:rPr>
          <w:sz w:val="24"/>
          <w:szCs w:val="24"/>
        </w:rPr>
        <w:fldChar w:fldCharType="separate"/>
      </w:r>
      <w:r w:rsidRPr="00EC1448">
        <w:rPr>
          <w:color w:val="0000FF"/>
          <w:sz w:val="24"/>
          <w:szCs w:val="24"/>
          <w:u w:val="single"/>
        </w:rPr>
        <w:t xml:space="preserve">ADI 5.161/DF, relator Ministro Luís Roberto Barroso, redator do acórdão Ministro Cristiano Zanin, julgamento finalizado em 30.09.2026 (quarta-feira) </w:t>
      </w:r>
    </w:p>
    <w:p w14:paraId="69555CA0" w14:textId="77777777" w:rsidR="00EC1448" w:rsidRPr="00EC1448" w:rsidRDefault="00EC1448" w:rsidP="00EC1448">
      <w:pPr>
        <w:spacing w:line="360" w:lineRule="auto"/>
        <w:rPr>
          <w:sz w:val="24"/>
          <w:szCs w:val="24"/>
        </w:rPr>
      </w:pPr>
      <w:r w:rsidRPr="00EC1448">
        <w:rPr>
          <w:sz w:val="24"/>
          <w:szCs w:val="24"/>
        </w:rPr>
        <w:fldChar w:fldCharType="end"/>
      </w:r>
      <w:r w:rsidRPr="00EC1448">
        <w:rPr>
          <w:noProof/>
          <w14:ligatures w14:val="standardContextual"/>
        </w:rPr>
        <w:drawing>
          <wp:inline distT="0" distB="0" distL="0" distR="0" wp14:anchorId="56A3E5FF" wp14:editId="68BB3FFA">
            <wp:extent cx="1186180" cy="123825"/>
            <wp:effectExtent l="0" t="0" r="0" b="9525"/>
            <wp:docPr id="406898668" name="Imagem 2" descr="P:\Informativos\Imagens\03_18px.pn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8668" name="Imagem 2" descr="P:\Informativos\Imagens\03_18px.png">
                      <a:hlinkClick r:id="rId43"/>
                    </pic:cNvPr>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86180" cy="123825"/>
                    </a:xfrm>
                    <a:prstGeom prst="rect">
                      <a:avLst/>
                    </a:prstGeom>
                    <a:noFill/>
                    <a:ln>
                      <a:noFill/>
                    </a:ln>
                  </pic:spPr>
                </pic:pic>
              </a:graphicData>
            </a:graphic>
          </wp:inline>
        </w:drawing>
      </w:r>
    </w:p>
    <w:p w14:paraId="7291EAD8" w14:textId="77777777" w:rsidR="00346004" w:rsidRDefault="00346004" w:rsidP="00082497">
      <w:pPr>
        <w:pStyle w:val="PargrafodaLista"/>
        <w:autoSpaceDE w:val="0"/>
        <w:autoSpaceDN w:val="0"/>
        <w:adjustRightInd w:val="0"/>
        <w:ind w:left="360"/>
        <w:jc w:val="right"/>
      </w:pPr>
    </w:p>
    <w:p w14:paraId="692BBC3F" w14:textId="77777777" w:rsidR="00346004" w:rsidRDefault="00346004" w:rsidP="00346004">
      <w:pPr>
        <w:pStyle w:val="PargrafodaLista"/>
        <w:autoSpaceDE w:val="0"/>
        <w:autoSpaceDN w:val="0"/>
        <w:adjustRightInd w:val="0"/>
        <w:ind w:left="360"/>
        <w:jc w:val="right"/>
      </w:pPr>
      <w:hyperlink w:anchor="SUMÁRIO" w:history="1">
        <w:r w:rsidRPr="00820E09">
          <w:rPr>
            <w:rStyle w:val="Hyperlink"/>
            <w:sz w:val="16"/>
            <w:szCs w:val="16"/>
          </w:rPr>
          <w:t>Sumário</w:t>
        </w:r>
      </w:hyperlink>
    </w:p>
    <w:bookmarkEnd w:id="2"/>
    <w:p w14:paraId="19EAEC63" w14:textId="50CDAA25" w:rsidR="00E317FB" w:rsidRPr="00820E09" w:rsidRDefault="00E317FB" w:rsidP="00C1099A">
      <w:pPr>
        <w:contextualSpacing/>
        <w:rPr>
          <w:rStyle w:val="Hyperlink"/>
          <w:b/>
          <w:bCs/>
          <w:color w:val="066194"/>
          <w:sz w:val="24"/>
          <w:szCs w:val="20"/>
          <w:shd w:val="clear" w:color="auto" w:fill="FFFFFF"/>
        </w:rPr>
      </w:pPr>
    </w:p>
    <w:p w14:paraId="647B4A89" w14:textId="4C764A15" w:rsidR="00E317FB" w:rsidRPr="003172B4" w:rsidRDefault="00E317FB" w:rsidP="00F9702B">
      <w:pPr>
        <w:pBdr>
          <w:top w:val="double" w:sz="18" w:space="4" w:color="auto"/>
          <w:bottom w:val="double" w:sz="18" w:space="8" w:color="auto"/>
        </w:pBdr>
        <w:tabs>
          <w:tab w:val="left" w:pos="284"/>
        </w:tabs>
        <w:spacing w:after="120"/>
        <w:jc w:val="center"/>
        <w:rPr>
          <w:b/>
          <w:bCs/>
          <w:iCs/>
          <w:smallCaps/>
          <w:sz w:val="22"/>
          <w:szCs w:val="22"/>
        </w:rPr>
      </w:pPr>
      <w:r w:rsidRPr="003172B4">
        <w:rPr>
          <w:b/>
          <w:bCs/>
          <w:iCs/>
          <w:smallCaps/>
          <w:sz w:val="22"/>
          <w:szCs w:val="22"/>
        </w:rPr>
        <w:t xml:space="preserve">2 </w:t>
      </w:r>
      <w:bookmarkStart w:id="7" w:name="TURMAS"/>
      <w:r w:rsidR="00BA2E84">
        <w:rPr>
          <w:b/>
          <w:bCs/>
          <w:iCs/>
          <w:smallCaps/>
          <w:sz w:val="22"/>
          <w:szCs w:val="22"/>
        </w:rPr>
        <w:t>TURMAS</w:t>
      </w:r>
      <w:bookmarkEnd w:id="7"/>
    </w:p>
    <w:p w14:paraId="45A5E557" w14:textId="77777777" w:rsidR="006C02AA" w:rsidRDefault="006C02AA" w:rsidP="006C02AA">
      <w:pPr>
        <w:pStyle w:val="PargrafodaLista"/>
        <w:autoSpaceDE w:val="0"/>
        <w:autoSpaceDN w:val="0"/>
        <w:adjustRightInd w:val="0"/>
        <w:ind w:left="360"/>
        <w:jc w:val="right"/>
      </w:pPr>
    </w:p>
    <w:p w14:paraId="085C2169" w14:textId="77777777" w:rsidR="006C02AA" w:rsidRPr="00B70103" w:rsidRDefault="006C02AA" w:rsidP="006C02AA">
      <w:pPr>
        <w:autoSpaceDE w:val="0"/>
        <w:autoSpaceDN w:val="0"/>
        <w:adjustRightInd w:val="0"/>
        <w:rPr>
          <w:color w:val="000000"/>
          <w:sz w:val="24"/>
          <w:szCs w:val="24"/>
        </w:rPr>
      </w:pPr>
      <w:r w:rsidRPr="00B70103">
        <w:rPr>
          <w:color w:val="000000"/>
          <w:sz w:val="24"/>
          <w:szCs w:val="24"/>
        </w:rPr>
        <w:t>DIREITO ADMINISTRATIVO – SERVIDOR PÚBLICO; SISTEMA REMUNERATÓRIO E BENEFÍCIOS; GRATIFICAÇÃO INCORPORADA, QUINTOS E DÉCIMOS E VPNI</w:t>
      </w:r>
    </w:p>
    <w:p w14:paraId="517A74B6" w14:textId="77777777" w:rsidR="006C02AA" w:rsidRPr="00B70103" w:rsidRDefault="006C02AA" w:rsidP="006C02AA">
      <w:pPr>
        <w:autoSpaceDE w:val="0"/>
        <w:autoSpaceDN w:val="0"/>
        <w:adjustRightInd w:val="0"/>
        <w:rPr>
          <w:color w:val="000000"/>
          <w:sz w:val="24"/>
          <w:szCs w:val="24"/>
        </w:rPr>
      </w:pPr>
    </w:p>
    <w:p w14:paraId="61DC5377" w14:textId="77777777" w:rsidR="006C02AA" w:rsidRPr="00B70103" w:rsidRDefault="006C02AA" w:rsidP="006C02AA">
      <w:pPr>
        <w:autoSpaceDE w:val="0"/>
        <w:autoSpaceDN w:val="0"/>
        <w:adjustRightInd w:val="0"/>
        <w:rPr>
          <w:sz w:val="24"/>
          <w:szCs w:val="24"/>
        </w:rPr>
      </w:pPr>
      <w:bookmarkStart w:id="8" w:name="RE1491723"/>
      <w:bookmarkStart w:id="9" w:name="_Hlk242438193"/>
      <w:r w:rsidRPr="00B70103">
        <w:rPr>
          <w:b/>
          <w:bCs/>
          <w:i/>
          <w:iCs/>
          <w:sz w:val="24"/>
          <w:szCs w:val="24"/>
        </w:rPr>
        <w:t>Alcance da modulação dos efeitos do Tema 395 RG: pagamento de parcelas de quintos reconhecidas administrativamente e não quitadas por falta de disponibilidade orçamentária</w:t>
      </w:r>
      <w:bookmarkEnd w:id="8"/>
      <w:r w:rsidRPr="00B70103">
        <w:rPr>
          <w:b/>
          <w:bCs/>
          <w:i/>
          <w:iCs/>
          <w:sz w:val="24"/>
          <w:szCs w:val="24"/>
        </w:rPr>
        <w:t xml:space="preserve"> </w:t>
      </w:r>
      <w:bookmarkStart w:id="10" w:name="_Hlk242438211"/>
      <w:bookmarkEnd w:id="9"/>
      <w:r w:rsidRPr="00B70103">
        <w:rPr>
          <w:sz w:val="24"/>
          <w:szCs w:val="24"/>
        </w:rPr>
        <w:t xml:space="preserve">– </w:t>
      </w:r>
      <w:hyperlink r:id="rId44" w:history="1">
        <w:r w:rsidRPr="00B70103">
          <w:rPr>
            <w:sz w:val="24"/>
            <w:szCs w:val="24"/>
          </w:rPr>
          <w:t>RE 1.491.723</w:t>
        </w:r>
        <w:r w:rsidRPr="00B70103">
          <w:t xml:space="preserve"> </w:t>
        </w:r>
        <w:proofErr w:type="spellStart"/>
        <w:r w:rsidRPr="00B70103">
          <w:rPr>
            <w:sz w:val="24"/>
            <w:szCs w:val="24"/>
          </w:rPr>
          <w:t>AgR</w:t>
        </w:r>
        <w:proofErr w:type="spellEnd"/>
        <w:r w:rsidRPr="00B70103">
          <w:rPr>
            <w:sz w:val="24"/>
            <w:szCs w:val="24"/>
          </w:rPr>
          <w:t>/PR</w:t>
        </w:r>
      </w:hyperlink>
      <w:bookmarkEnd w:id="10"/>
      <w:r w:rsidRPr="00B70103">
        <w:rPr>
          <w:sz w:val="24"/>
          <w:szCs w:val="24"/>
        </w:rPr>
        <w:t xml:space="preserve"> </w:t>
      </w:r>
      <w:r w:rsidRPr="00B70103">
        <w:rPr>
          <w:b/>
          <w:bCs/>
          <w:i/>
          <w:iCs/>
          <w:noProof/>
          <w:sz w:val="24"/>
          <w:szCs w:val="24"/>
        </w:rPr>
        <w:drawing>
          <wp:inline distT="0" distB="0" distL="0" distR="0" wp14:anchorId="6DA61718" wp14:editId="17D0D760">
            <wp:extent cx="1219200" cy="180975"/>
            <wp:effectExtent l="0" t="0" r="0" b="9525"/>
            <wp:docPr id="804356745" name="Imagem 1">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56745" name="Imagem 1">
                      <a:hlinkClick r:id="rId45"/>
                    </pic:cNvPr>
                    <pic:cNvPicPr>
                      <a:picLocks noChangeAspect="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19200" cy="180975"/>
                    </a:xfrm>
                    <a:prstGeom prst="rect">
                      <a:avLst/>
                    </a:prstGeom>
                    <a:noFill/>
                    <a:ln>
                      <a:noFill/>
                    </a:ln>
                  </pic:spPr>
                </pic:pic>
              </a:graphicData>
            </a:graphic>
          </wp:inline>
        </w:drawing>
      </w:r>
    </w:p>
    <w:p w14:paraId="5C7AE4E7" w14:textId="77777777" w:rsidR="006C02AA" w:rsidRPr="00B70103" w:rsidRDefault="006C02AA" w:rsidP="006C02AA">
      <w:pPr>
        <w:autoSpaceDE w:val="0"/>
        <w:autoSpaceDN w:val="0"/>
        <w:adjustRightInd w:val="0"/>
        <w:rPr>
          <w:sz w:val="24"/>
          <w:szCs w:val="24"/>
        </w:rPr>
      </w:pPr>
    </w:p>
    <w:p w14:paraId="71AC689A" w14:textId="77777777" w:rsidR="006C02AA" w:rsidRPr="00B70103" w:rsidRDefault="006C02AA" w:rsidP="006C02AA">
      <w:pPr>
        <w:autoSpaceDE w:val="0"/>
        <w:autoSpaceDN w:val="0"/>
        <w:adjustRightInd w:val="0"/>
        <w:spacing w:line="360" w:lineRule="auto"/>
        <w:rPr>
          <w:sz w:val="24"/>
          <w:szCs w:val="24"/>
        </w:rPr>
      </w:pPr>
      <w:r w:rsidRPr="00B70103">
        <w:rPr>
          <w:sz w:val="24"/>
          <w:szCs w:val="24"/>
        </w:rPr>
        <w:t>Resumo:</w:t>
      </w:r>
    </w:p>
    <w:p w14:paraId="7E35D15B" w14:textId="77777777" w:rsidR="006C02AA" w:rsidRPr="00B70103" w:rsidRDefault="006C02AA" w:rsidP="006C02AA">
      <w:pPr>
        <w:autoSpaceDE w:val="0"/>
        <w:autoSpaceDN w:val="0"/>
        <w:adjustRightInd w:val="0"/>
        <w:spacing w:line="360" w:lineRule="auto"/>
        <w:ind w:firstLine="709"/>
        <w:rPr>
          <w:b/>
          <w:bCs/>
          <w:sz w:val="24"/>
          <w:szCs w:val="24"/>
        </w:rPr>
      </w:pPr>
      <w:r w:rsidRPr="00B70103">
        <w:rPr>
          <w:b/>
          <w:bCs/>
          <w:sz w:val="24"/>
          <w:szCs w:val="24"/>
        </w:rPr>
        <w:t>À luz da modulação dos efeitos do julgamento do Tema 395 da repercussão geral (RG), os servidores públicos federais têm direito ao pagamento dos valores não adimplidos no momento oportuno, por falta de disponibilidade orçamentária, referentes ao recebimento de quintos/décimos reconhecidos por decisão administrativa.</w:t>
      </w:r>
    </w:p>
    <w:p w14:paraId="71AD822C" w14:textId="77777777" w:rsidR="006C02AA" w:rsidRPr="00B70103" w:rsidRDefault="006C02AA" w:rsidP="006C02AA">
      <w:pPr>
        <w:autoSpaceDE w:val="0"/>
        <w:autoSpaceDN w:val="0"/>
        <w:adjustRightInd w:val="0"/>
        <w:spacing w:line="360" w:lineRule="auto"/>
        <w:ind w:firstLine="709"/>
        <w:rPr>
          <w:sz w:val="24"/>
          <w:szCs w:val="24"/>
        </w:rPr>
      </w:pPr>
      <w:r w:rsidRPr="00B70103">
        <w:rPr>
          <w:sz w:val="24"/>
          <w:szCs w:val="24"/>
        </w:rPr>
        <w:t xml:space="preserve">Conforme jurisprudência pacificada nesta Corte (1), a falta de disponibilidade orçamentária da Administração, </w:t>
      </w:r>
      <w:proofErr w:type="gramStart"/>
      <w:r w:rsidRPr="00B70103">
        <w:rPr>
          <w:sz w:val="24"/>
          <w:szCs w:val="24"/>
        </w:rPr>
        <w:t>no momento em que</w:t>
      </w:r>
      <w:proofErr w:type="gramEnd"/>
      <w:r w:rsidRPr="00B70103">
        <w:rPr>
          <w:sz w:val="24"/>
          <w:szCs w:val="24"/>
        </w:rPr>
        <w:t xml:space="preserve"> deveria ter </w:t>
      </w:r>
      <w:proofErr w:type="gramStart"/>
      <w:r w:rsidRPr="00B70103">
        <w:rPr>
          <w:sz w:val="24"/>
          <w:szCs w:val="24"/>
        </w:rPr>
        <w:t>pago</w:t>
      </w:r>
      <w:proofErr w:type="gramEnd"/>
      <w:r w:rsidRPr="00B70103">
        <w:rPr>
          <w:sz w:val="24"/>
          <w:szCs w:val="24"/>
        </w:rPr>
        <w:t xml:space="preserve"> os valores por esta reconhecidos, não pode ser admitida como ressalva à diretriz emanada da modulação dos efeitos do Tema 395 RG (2). </w:t>
      </w:r>
    </w:p>
    <w:p w14:paraId="2867C467" w14:textId="77777777" w:rsidR="006C02AA" w:rsidRPr="00B70103" w:rsidRDefault="006C02AA" w:rsidP="006C02AA">
      <w:pPr>
        <w:autoSpaceDE w:val="0"/>
        <w:autoSpaceDN w:val="0"/>
        <w:adjustRightInd w:val="0"/>
        <w:spacing w:line="360" w:lineRule="auto"/>
        <w:ind w:firstLine="709"/>
        <w:rPr>
          <w:sz w:val="24"/>
          <w:szCs w:val="24"/>
        </w:rPr>
      </w:pPr>
      <w:r w:rsidRPr="00B70103">
        <w:rPr>
          <w:sz w:val="24"/>
          <w:szCs w:val="24"/>
        </w:rPr>
        <w:t>Na ocasião, o Plenário estabeleceu a continuidade do pagamento dos quintos/décimos até ulterior absorção integral por reajustes futuros concedidos aos servidores que recebiam a parcela em decorrência de decisão administrativa. Em nenhum momento, determinou a extinção de débitos reconhecidos administrativamente, não adimplidos no tempo apropriado (3).</w:t>
      </w:r>
    </w:p>
    <w:p w14:paraId="2FE664FB" w14:textId="77777777" w:rsidR="006C02AA" w:rsidRPr="00B70103" w:rsidRDefault="006C02AA" w:rsidP="006C02AA">
      <w:pPr>
        <w:autoSpaceDE w:val="0"/>
        <w:autoSpaceDN w:val="0"/>
        <w:adjustRightInd w:val="0"/>
        <w:spacing w:line="360" w:lineRule="auto"/>
        <w:ind w:firstLine="709"/>
        <w:rPr>
          <w:sz w:val="24"/>
          <w:szCs w:val="24"/>
        </w:rPr>
      </w:pPr>
      <w:r w:rsidRPr="00B70103">
        <w:rPr>
          <w:sz w:val="24"/>
          <w:szCs w:val="24"/>
        </w:rPr>
        <w:t xml:space="preserve">Ademais, negar o pagamento desses valores acarreta grave ofensa ao princípio da isonomia, pois esse direito seria negado apenas a um grupo restrito de servidores públicos federais, enquanto a maioria, em situação idêntica, já recebeu corretamente o passivo, muitos, inclusive, amparados em decisões do STF transitadas em julgado. </w:t>
      </w:r>
    </w:p>
    <w:p w14:paraId="34BCC88D" w14:textId="77777777" w:rsidR="006C02AA" w:rsidRPr="00B70103" w:rsidRDefault="006C02AA" w:rsidP="006C02AA">
      <w:pPr>
        <w:autoSpaceDE w:val="0"/>
        <w:autoSpaceDN w:val="0"/>
        <w:adjustRightInd w:val="0"/>
        <w:spacing w:line="360" w:lineRule="auto"/>
        <w:ind w:firstLine="709"/>
        <w:rPr>
          <w:sz w:val="24"/>
          <w:szCs w:val="24"/>
        </w:rPr>
      </w:pPr>
      <w:r w:rsidRPr="00B70103">
        <w:rPr>
          <w:sz w:val="24"/>
          <w:szCs w:val="24"/>
        </w:rPr>
        <w:lastRenderedPageBreak/>
        <w:t xml:space="preserve">Na espécie, foram interpostos dois recursos extraordinários. O primeiro foi apresentado pela União e admitido depois de o Tribunal Regional Federal da 4ª Região (TRF/4ª Região) considerar desnecessária a adequação do acórdão recorrido por não divergir do entendimento manifestado pelo STF ao apreciar o mérito do Tema 395 RG, uma vez que o servidor público autor da demanda buscaria a cobrança de valores, e não a incorporação de quintos/décimos. O segundo foi deduzido pelo servidor público contra o acórdão do STJ, que concluiu não ser possível a cobrança de parcelas atrasadas, reconhecidas administrativamente, observado o que decidido no Tema 395 RG. </w:t>
      </w:r>
    </w:p>
    <w:p w14:paraId="49669B1E" w14:textId="77777777" w:rsidR="006C02AA" w:rsidRPr="00B70103" w:rsidRDefault="006C02AA" w:rsidP="006C02AA">
      <w:pPr>
        <w:autoSpaceDE w:val="0"/>
        <w:autoSpaceDN w:val="0"/>
        <w:adjustRightInd w:val="0"/>
        <w:spacing w:line="360" w:lineRule="auto"/>
        <w:ind w:firstLine="454"/>
        <w:rPr>
          <w:sz w:val="24"/>
          <w:szCs w:val="24"/>
        </w:rPr>
      </w:pPr>
      <w:bookmarkStart w:id="11" w:name="_Hlk167388033"/>
      <w:bookmarkStart w:id="12" w:name="_Hlk134103137"/>
      <w:r w:rsidRPr="00B70103">
        <w:rPr>
          <w:sz w:val="24"/>
          <w:szCs w:val="24"/>
        </w:rPr>
        <w:t xml:space="preserve">Com base nesses e em outros entendimentos, a Primeira Turma, por unanimidade, negou provimento a agravo interposto da decisão que julgou prejudicado o recurso extraordinário da União e deu provimento ao recurso extraordinário do servidor. </w:t>
      </w:r>
    </w:p>
    <w:p w14:paraId="0059BC32" w14:textId="77777777" w:rsidR="006C02AA" w:rsidRPr="00B70103" w:rsidRDefault="006C02AA" w:rsidP="006C02AA">
      <w:pPr>
        <w:autoSpaceDE w:val="0"/>
        <w:autoSpaceDN w:val="0"/>
        <w:adjustRightInd w:val="0"/>
        <w:spacing w:line="360" w:lineRule="auto"/>
        <w:ind w:firstLine="454"/>
        <w:rPr>
          <w:sz w:val="24"/>
          <w:szCs w:val="24"/>
        </w:rPr>
      </w:pPr>
    </w:p>
    <w:p w14:paraId="0D958C08" w14:textId="77777777" w:rsidR="006C02AA" w:rsidRPr="00B70103" w:rsidRDefault="006C02AA" w:rsidP="006C02AA">
      <w:pPr>
        <w:tabs>
          <w:tab w:val="left" w:pos="993"/>
        </w:tabs>
        <w:spacing w:after="120"/>
        <w:ind w:firstLine="709"/>
        <w:rPr>
          <w:rFonts w:ascii="Arial" w:eastAsiaTheme="minorHAnsi" w:hAnsi="Arial" w:cs="Arial"/>
          <w:sz w:val="20"/>
          <w:szCs w:val="20"/>
          <w:lang w:val="it-IT" w:eastAsia="en-US"/>
        </w:rPr>
      </w:pPr>
      <w:r w:rsidRPr="00B70103">
        <w:rPr>
          <w:rFonts w:ascii="Arial" w:eastAsiaTheme="minorHAnsi" w:hAnsi="Arial" w:cs="Arial"/>
          <w:sz w:val="20"/>
          <w:szCs w:val="20"/>
          <w:lang w:val="it-IT" w:eastAsia="en-US"/>
        </w:rPr>
        <w:t xml:space="preserve">(1) Precedentes citados: </w:t>
      </w:r>
      <w:r>
        <w:fldChar w:fldCharType="begin"/>
      </w:r>
      <w:r w:rsidRPr="003F70AC">
        <w:rPr>
          <w:lang w:val="it-IT"/>
        </w:rPr>
        <w:instrText>HYPERLINK "https://redir.stf.jus.br/paginadorpub/paginador.jsp?docTP=TP&amp;docID=793997693"</w:instrText>
      </w:r>
      <w:r>
        <w:fldChar w:fldCharType="separate"/>
      </w:r>
      <w:r w:rsidRPr="00B70103">
        <w:rPr>
          <w:rFonts w:ascii="Arial" w:eastAsiaTheme="minorHAnsi" w:hAnsi="Arial" w:cs="Arial"/>
          <w:color w:val="0000FF"/>
          <w:sz w:val="20"/>
          <w:szCs w:val="20"/>
          <w:u w:val="single"/>
          <w:lang w:val="it-IT" w:eastAsia="en-US"/>
        </w:rPr>
        <w:t>RE 1.414.937 AgR-ED-EDv</w:t>
      </w:r>
      <w:r>
        <w:fldChar w:fldCharType="end"/>
      </w:r>
      <w:r w:rsidRPr="00B70103">
        <w:rPr>
          <w:rFonts w:ascii="Arial" w:eastAsiaTheme="minorHAnsi" w:hAnsi="Arial" w:cs="Arial"/>
          <w:sz w:val="20"/>
          <w:szCs w:val="20"/>
          <w:lang w:val="it-IT" w:eastAsia="en-US"/>
        </w:rPr>
        <w:t xml:space="preserve"> e </w:t>
      </w:r>
      <w:hyperlink r:id="rId47" w:history="1">
        <w:r w:rsidRPr="00B70103">
          <w:rPr>
            <w:rFonts w:asciiTheme="minorHAnsi" w:eastAsiaTheme="minorHAnsi" w:hAnsiTheme="minorHAnsi" w:cs="Arial"/>
            <w:color w:val="0000FF"/>
            <w:sz w:val="22"/>
            <w:szCs w:val="22"/>
            <w:u w:val="single"/>
            <w:lang w:val="it-IT" w:eastAsia="en-US"/>
          </w:rPr>
          <w:t>RE 1.394.742 AgR-ED-ED-EDv</w:t>
        </w:r>
      </w:hyperlink>
      <w:r w:rsidRPr="00B70103">
        <w:rPr>
          <w:rFonts w:ascii="Arial" w:eastAsiaTheme="minorHAnsi" w:hAnsi="Arial" w:cs="Arial"/>
          <w:sz w:val="20"/>
          <w:szCs w:val="20"/>
          <w:lang w:val="it-IT" w:eastAsia="en-US"/>
        </w:rPr>
        <w:t>.</w:t>
      </w:r>
    </w:p>
    <w:p w14:paraId="3D29B56C" w14:textId="77777777" w:rsidR="006C02AA" w:rsidRPr="00B70103" w:rsidRDefault="006C02AA" w:rsidP="006C02AA">
      <w:pPr>
        <w:tabs>
          <w:tab w:val="left" w:pos="993"/>
        </w:tabs>
        <w:spacing w:after="120"/>
        <w:ind w:firstLine="709"/>
        <w:rPr>
          <w:rFonts w:ascii="Arial" w:eastAsiaTheme="minorHAnsi" w:hAnsi="Arial" w:cs="Arial"/>
          <w:sz w:val="20"/>
          <w:szCs w:val="20"/>
          <w:lang w:val="it-IT" w:eastAsia="en-US"/>
        </w:rPr>
      </w:pPr>
      <w:r w:rsidRPr="00B70103">
        <w:rPr>
          <w:rFonts w:ascii="Arial" w:eastAsiaTheme="minorHAnsi" w:hAnsi="Arial" w:cs="Arial"/>
          <w:sz w:val="20"/>
          <w:szCs w:val="20"/>
          <w:lang w:val="it-IT" w:eastAsia="en-US"/>
        </w:rPr>
        <w:t xml:space="preserve">(2) Precedente citado: </w:t>
      </w:r>
      <w:r>
        <w:fldChar w:fldCharType="begin"/>
      </w:r>
      <w:r w:rsidRPr="003F70AC">
        <w:rPr>
          <w:lang w:val="it-IT"/>
        </w:rPr>
        <w:instrText>HYPERLINK "https://redir.stf.jus.br/paginadorpub/paginador.jsp?docTP=TP&amp;docID=752611304"</w:instrText>
      </w:r>
      <w:r>
        <w:fldChar w:fldCharType="separate"/>
      </w:r>
      <w:r w:rsidRPr="00B70103">
        <w:rPr>
          <w:rFonts w:ascii="Arial" w:eastAsiaTheme="minorHAnsi" w:hAnsi="Arial" w:cs="Arial"/>
          <w:color w:val="0000FF"/>
          <w:sz w:val="20"/>
          <w:szCs w:val="20"/>
          <w:u w:val="single"/>
          <w:lang w:val="it-IT" w:eastAsia="en-US"/>
        </w:rPr>
        <w:t>RE 638.115 ED–ED-nonos</w:t>
      </w:r>
      <w:r>
        <w:fldChar w:fldCharType="end"/>
      </w:r>
      <w:r w:rsidRPr="00B70103">
        <w:rPr>
          <w:rFonts w:ascii="Arial" w:eastAsiaTheme="minorHAnsi" w:hAnsi="Arial" w:cs="Arial"/>
          <w:sz w:val="20"/>
          <w:szCs w:val="20"/>
          <w:lang w:val="it-IT" w:eastAsia="en-US"/>
        </w:rPr>
        <w:t xml:space="preserve"> (</w:t>
      </w:r>
      <w:hyperlink r:id="rId48" w:history="1">
        <w:r w:rsidRPr="00B70103">
          <w:rPr>
            <w:rFonts w:ascii="Arial" w:eastAsiaTheme="minorHAnsi" w:hAnsi="Arial" w:cs="Arial"/>
            <w:color w:val="0000FF"/>
            <w:sz w:val="20"/>
            <w:szCs w:val="20"/>
            <w:u w:val="single"/>
            <w:lang w:val="it-IT" w:eastAsia="en-US"/>
          </w:rPr>
          <w:t>Tema 395 RG</w:t>
        </w:r>
      </w:hyperlink>
      <w:r w:rsidRPr="00B70103">
        <w:rPr>
          <w:rFonts w:ascii="Arial" w:eastAsiaTheme="minorHAnsi" w:hAnsi="Arial" w:cs="Arial"/>
          <w:sz w:val="20"/>
          <w:szCs w:val="20"/>
          <w:lang w:val="it-IT" w:eastAsia="en-US"/>
        </w:rPr>
        <w:t xml:space="preserve">). </w:t>
      </w:r>
    </w:p>
    <w:p w14:paraId="0421C005" w14:textId="77777777" w:rsidR="006C02AA" w:rsidRPr="00B70103" w:rsidRDefault="006C02AA" w:rsidP="006C02AA">
      <w:pPr>
        <w:spacing w:after="120"/>
        <w:ind w:firstLine="709"/>
        <w:contextualSpacing/>
        <w:rPr>
          <w:rFonts w:ascii="Arial" w:eastAsiaTheme="minorHAnsi" w:hAnsi="Arial" w:cs="Arial"/>
          <w:sz w:val="20"/>
          <w:szCs w:val="20"/>
          <w:lang w:eastAsia="en-US"/>
        </w:rPr>
      </w:pPr>
      <w:r w:rsidRPr="00B70103">
        <w:rPr>
          <w:rFonts w:ascii="Arial" w:eastAsiaTheme="minorHAnsi" w:hAnsi="Arial" w:cs="Arial"/>
          <w:sz w:val="20"/>
          <w:szCs w:val="20"/>
          <w:lang w:eastAsia="en-US"/>
        </w:rPr>
        <w:t xml:space="preserve">(3) Precedentes citados: </w:t>
      </w:r>
      <w:hyperlink r:id="rId49" w:history="1">
        <w:r w:rsidRPr="00B70103">
          <w:rPr>
            <w:rFonts w:ascii="Arial" w:eastAsiaTheme="minorHAnsi" w:hAnsi="Arial" w:cs="Arial"/>
            <w:color w:val="0000FF"/>
            <w:sz w:val="20"/>
            <w:szCs w:val="20"/>
            <w:u w:val="single"/>
            <w:lang w:eastAsia="en-US"/>
          </w:rPr>
          <w:t xml:space="preserve">ARE 1.331.515 </w:t>
        </w:r>
        <w:proofErr w:type="spellStart"/>
        <w:r w:rsidRPr="00B70103">
          <w:rPr>
            <w:rFonts w:ascii="Arial" w:eastAsiaTheme="minorHAnsi" w:hAnsi="Arial" w:cs="Arial"/>
            <w:color w:val="0000FF"/>
            <w:sz w:val="20"/>
            <w:szCs w:val="20"/>
            <w:u w:val="single"/>
            <w:lang w:eastAsia="en-US"/>
          </w:rPr>
          <w:t>AgR</w:t>
        </w:r>
        <w:proofErr w:type="spellEnd"/>
      </w:hyperlink>
      <w:r w:rsidRPr="00B70103">
        <w:rPr>
          <w:rFonts w:ascii="Arial" w:eastAsiaTheme="minorHAnsi" w:hAnsi="Arial" w:cs="Arial"/>
          <w:sz w:val="20"/>
          <w:szCs w:val="20"/>
          <w:lang w:eastAsia="en-US"/>
        </w:rPr>
        <w:t xml:space="preserve"> e </w:t>
      </w:r>
      <w:hyperlink r:id="rId50" w:history="1">
        <w:r w:rsidRPr="00B70103">
          <w:rPr>
            <w:rFonts w:ascii="Arial" w:eastAsiaTheme="minorHAnsi" w:hAnsi="Arial" w:cs="Arial"/>
            <w:color w:val="0000FF"/>
            <w:sz w:val="20"/>
            <w:szCs w:val="20"/>
            <w:u w:val="single"/>
            <w:lang w:eastAsia="en-US"/>
          </w:rPr>
          <w:t xml:space="preserve">RE 1.287.700 </w:t>
        </w:r>
        <w:proofErr w:type="spellStart"/>
        <w:r w:rsidRPr="00B70103">
          <w:rPr>
            <w:rFonts w:ascii="Arial" w:eastAsiaTheme="minorHAnsi" w:hAnsi="Arial" w:cs="Arial"/>
            <w:color w:val="0000FF"/>
            <w:sz w:val="20"/>
            <w:szCs w:val="20"/>
            <w:u w:val="single"/>
            <w:lang w:eastAsia="en-US"/>
          </w:rPr>
          <w:t>AgR</w:t>
        </w:r>
      </w:hyperlink>
      <w:r w:rsidRPr="00B70103">
        <w:rPr>
          <w:rFonts w:ascii="Arial" w:eastAsiaTheme="minorHAnsi" w:hAnsi="Arial" w:cs="Arial"/>
          <w:sz w:val="20"/>
          <w:szCs w:val="20"/>
          <w:lang w:eastAsia="en-US"/>
        </w:rPr>
        <w:t>.</w:t>
      </w:r>
      <w:bookmarkEnd w:id="11"/>
      <w:proofErr w:type="spellEnd"/>
    </w:p>
    <w:p w14:paraId="1DD025F5" w14:textId="77777777" w:rsidR="006C02AA" w:rsidRPr="00B70103" w:rsidRDefault="006C02AA" w:rsidP="006C02AA">
      <w:pPr>
        <w:spacing w:after="120"/>
        <w:ind w:firstLine="709"/>
        <w:contextualSpacing/>
        <w:rPr>
          <w:rFonts w:asciiTheme="minorHAnsi" w:eastAsiaTheme="minorHAnsi" w:hAnsiTheme="minorHAnsi" w:cstheme="minorBidi"/>
          <w:sz w:val="24"/>
          <w:szCs w:val="24"/>
          <w:lang w:eastAsia="en-US"/>
        </w:rPr>
      </w:pPr>
    </w:p>
    <w:bookmarkEnd w:id="12"/>
    <w:p w14:paraId="554CECF0" w14:textId="77777777" w:rsidR="006C02AA" w:rsidRPr="00B70103" w:rsidRDefault="006C02AA" w:rsidP="006C02AA">
      <w:pPr>
        <w:autoSpaceDE w:val="0"/>
        <w:autoSpaceDN w:val="0"/>
        <w:adjustRightInd w:val="0"/>
        <w:spacing w:line="360" w:lineRule="auto"/>
        <w:rPr>
          <w:sz w:val="24"/>
          <w:szCs w:val="24"/>
        </w:rPr>
      </w:pPr>
      <w:r w:rsidRPr="00B70103">
        <w:rPr>
          <w:sz w:val="24"/>
          <w:szCs w:val="24"/>
        </w:rPr>
        <w:fldChar w:fldCharType="begin"/>
      </w:r>
      <w:r w:rsidRPr="00B70103">
        <w:rPr>
          <w:sz w:val="24"/>
          <w:szCs w:val="24"/>
        </w:rPr>
        <w:instrText>HYPERLINK "https://portal.stf.jus.br/processos/detalhe.asp?incidente=6912298"</w:instrText>
      </w:r>
      <w:r w:rsidRPr="00B70103">
        <w:rPr>
          <w:sz w:val="24"/>
          <w:szCs w:val="24"/>
        </w:rPr>
      </w:r>
      <w:r w:rsidRPr="00B70103">
        <w:rPr>
          <w:sz w:val="24"/>
          <w:szCs w:val="24"/>
        </w:rPr>
        <w:fldChar w:fldCharType="separate"/>
      </w:r>
      <w:r w:rsidRPr="00B70103">
        <w:rPr>
          <w:color w:val="0000FF"/>
          <w:sz w:val="24"/>
          <w:szCs w:val="24"/>
          <w:u w:val="single"/>
        </w:rPr>
        <w:t>RE 1.491.723</w:t>
      </w:r>
      <w:r w:rsidRPr="00B70103">
        <w:rPr>
          <w:color w:val="0000FF"/>
          <w:u w:val="single"/>
        </w:rPr>
        <w:t xml:space="preserve"> </w:t>
      </w:r>
      <w:proofErr w:type="spellStart"/>
      <w:r w:rsidRPr="00B70103">
        <w:rPr>
          <w:color w:val="0000FF"/>
          <w:sz w:val="24"/>
          <w:szCs w:val="24"/>
          <w:u w:val="single"/>
        </w:rPr>
        <w:t>AgR</w:t>
      </w:r>
      <w:proofErr w:type="spellEnd"/>
      <w:r w:rsidRPr="00B70103">
        <w:rPr>
          <w:color w:val="0000FF"/>
          <w:sz w:val="24"/>
          <w:szCs w:val="24"/>
          <w:u w:val="single"/>
        </w:rPr>
        <w:t>/PR, relator Ministro Alexandre de Moraes, julgamento finalizado em 29.09.2026 (terça-feira)</w:t>
      </w:r>
      <w:r w:rsidRPr="00B70103">
        <w:rPr>
          <w:sz w:val="24"/>
          <w:szCs w:val="24"/>
        </w:rPr>
        <w:fldChar w:fldCharType="end"/>
      </w:r>
      <w:r w:rsidRPr="00B70103">
        <w:rPr>
          <w:sz w:val="24"/>
          <w:szCs w:val="24"/>
        </w:rPr>
        <w:t xml:space="preserve"> </w:t>
      </w:r>
    </w:p>
    <w:p w14:paraId="032A913A" w14:textId="77777777" w:rsidR="006C02AA" w:rsidRPr="00B70103" w:rsidRDefault="006C02AA" w:rsidP="006C02AA">
      <w:pPr>
        <w:autoSpaceDE w:val="0"/>
        <w:autoSpaceDN w:val="0"/>
        <w:adjustRightInd w:val="0"/>
        <w:spacing w:line="360" w:lineRule="auto"/>
        <w:rPr>
          <w:sz w:val="24"/>
          <w:szCs w:val="24"/>
        </w:rPr>
      </w:pPr>
      <w:r w:rsidRPr="00B70103">
        <w:rPr>
          <w:noProof/>
          <w:sz w:val="20"/>
          <w:szCs w:val="20"/>
        </w:rPr>
        <w:drawing>
          <wp:inline distT="0" distB="0" distL="0" distR="0" wp14:anchorId="41E347D4" wp14:editId="47477492">
            <wp:extent cx="1190625" cy="123825"/>
            <wp:effectExtent l="0" t="0" r="9525" b="9525"/>
            <wp:docPr id="2" name="Imagem 1" descr="P:\Informativos\Imagens\03_18px.png">
              <a:hlinkClick xmlns:a="http://schemas.openxmlformats.org/drawingml/2006/main" r:id="rId51"/>
            </wp:docPr>
            <wp:cNvGraphicFramePr/>
            <a:graphic xmlns:a="http://schemas.openxmlformats.org/drawingml/2006/main">
              <a:graphicData uri="http://schemas.openxmlformats.org/drawingml/2006/picture">
                <pic:pic xmlns:pic="http://schemas.openxmlformats.org/drawingml/2006/picture">
                  <pic:nvPicPr>
                    <pic:cNvPr id="2" name="Imagem 1" descr="P:\Informativos\Imagens\03_18px.png">
                      <a:hlinkClick r:id="rId51"/>
                    </pic:cNvPr>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90625" cy="123825"/>
                    </a:xfrm>
                    <a:prstGeom prst="rect">
                      <a:avLst/>
                    </a:prstGeom>
                    <a:noFill/>
                    <a:ln>
                      <a:noFill/>
                    </a:ln>
                  </pic:spPr>
                </pic:pic>
              </a:graphicData>
            </a:graphic>
          </wp:inline>
        </w:drawing>
      </w:r>
    </w:p>
    <w:p w14:paraId="13120FFA" w14:textId="77777777" w:rsidR="006C02AA" w:rsidRDefault="006C02AA" w:rsidP="006C02AA">
      <w:pPr>
        <w:pStyle w:val="PargrafodaLista"/>
        <w:autoSpaceDE w:val="0"/>
        <w:autoSpaceDN w:val="0"/>
        <w:adjustRightInd w:val="0"/>
        <w:ind w:left="360"/>
        <w:jc w:val="right"/>
      </w:pPr>
    </w:p>
    <w:p w14:paraId="36FB9C40" w14:textId="77777777" w:rsidR="006C02AA" w:rsidRDefault="006C02AA" w:rsidP="008A32EE">
      <w:pPr>
        <w:pStyle w:val="PargrafodaLista"/>
        <w:autoSpaceDE w:val="0"/>
        <w:autoSpaceDN w:val="0"/>
        <w:adjustRightInd w:val="0"/>
        <w:spacing w:after="120"/>
        <w:ind w:left="357"/>
        <w:jc w:val="right"/>
      </w:pPr>
      <w:hyperlink w:anchor="SUMÁRIO" w:history="1">
        <w:r w:rsidRPr="00820E09">
          <w:rPr>
            <w:rStyle w:val="Hyperlink"/>
            <w:sz w:val="16"/>
            <w:szCs w:val="16"/>
          </w:rPr>
          <w:t>Sumário</w:t>
        </w:r>
      </w:hyperlink>
    </w:p>
    <w:p w14:paraId="09720043" w14:textId="2098CE54" w:rsidR="00B91B48" w:rsidRPr="003172B4" w:rsidRDefault="00EF3ACC" w:rsidP="00F9702B">
      <w:pPr>
        <w:pBdr>
          <w:top w:val="double" w:sz="18" w:space="4" w:color="auto"/>
          <w:bottom w:val="double" w:sz="18" w:space="8" w:color="auto"/>
        </w:pBdr>
        <w:tabs>
          <w:tab w:val="left" w:pos="284"/>
        </w:tabs>
        <w:spacing w:after="120"/>
        <w:jc w:val="center"/>
        <w:rPr>
          <w:b/>
          <w:bCs/>
          <w:iCs/>
          <w:smallCaps/>
          <w:sz w:val="22"/>
          <w:szCs w:val="22"/>
        </w:rPr>
      </w:pPr>
      <w:r w:rsidRPr="003172B4">
        <w:rPr>
          <w:b/>
          <w:bCs/>
          <w:iCs/>
          <w:smallCaps/>
          <w:sz w:val="22"/>
          <w:szCs w:val="22"/>
        </w:rPr>
        <w:t xml:space="preserve">3 </w:t>
      </w:r>
      <w:bookmarkStart w:id="13" w:name="INOVAÇÕES"/>
      <w:r w:rsidRPr="003172B4">
        <w:rPr>
          <w:b/>
          <w:bCs/>
          <w:iCs/>
          <w:smallCaps/>
          <w:sz w:val="22"/>
          <w:szCs w:val="22"/>
        </w:rPr>
        <w:t xml:space="preserve">INOVAÇÕES </w:t>
      </w:r>
      <w:bookmarkEnd w:id="13"/>
      <w:r w:rsidRPr="003172B4">
        <w:rPr>
          <w:b/>
          <w:bCs/>
          <w:iCs/>
          <w:smallCaps/>
          <w:sz w:val="22"/>
          <w:szCs w:val="22"/>
        </w:rPr>
        <w:t>NORMATIVAS STF</w:t>
      </w:r>
    </w:p>
    <w:p w14:paraId="12E3DE8C" w14:textId="5017629E" w:rsidR="00A83AC0" w:rsidRPr="00A83AC0" w:rsidRDefault="00A83AC0" w:rsidP="00B83821">
      <w:pPr>
        <w:spacing w:after="120"/>
        <w:rPr>
          <w:sz w:val="24"/>
          <w:szCs w:val="24"/>
        </w:rPr>
      </w:pPr>
      <w:hyperlink r:id="rId52" w:history="1">
        <w:r w:rsidRPr="00A83AC0">
          <w:rPr>
            <w:rStyle w:val="Hyperlink"/>
            <w:sz w:val="24"/>
            <w:szCs w:val="24"/>
          </w:rPr>
          <w:t>Resolução nº 921, de 02.10.2026</w:t>
        </w:r>
      </w:hyperlink>
      <w:r w:rsidRPr="00A83AC0">
        <w:rPr>
          <w:sz w:val="24"/>
          <w:szCs w:val="24"/>
        </w:rPr>
        <w:t xml:space="preserve"> - Dispõe sobre a validação de manifestações apresentadas por terceiros estranhos à relação processual e sobre procedimentos destinados a assegurar a observância das regras de distribuição previstas na </w:t>
      </w:r>
      <w:hyperlink r:id="rId53" w:history="1">
        <w:r w:rsidRPr="00A83AC0">
          <w:rPr>
            <w:rStyle w:val="Hyperlink"/>
            <w:sz w:val="24"/>
            <w:szCs w:val="24"/>
          </w:rPr>
          <w:t>Resolução nº 706, de 15 de outubro de 2020</w:t>
        </w:r>
      </w:hyperlink>
      <w:r w:rsidRPr="00A83AC0">
        <w:rPr>
          <w:sz w:val="24"/>
          <w:szCs w:val="24"/>
        </w:rPr>
        <w:t xml:space="preserve">. </w:t>
      </w:r>
    </w:p>
    <w:p w14:paraId="1769974D" w14:textId="5AB2A800" w:rsidR="00146C1B" w:rsidRDefault="00E1725E" w:rsidP="00A83AC0">
      <w:pPr>
        <w:rPr>
          <w:color w:val="2E2E2E"/>
          <w:sz w:val="24"/>
          <w:szCs w:val="24"/>
        </w:rPr>
      </w:pPr>
      <w:hyperlink r:id="rId54" w:history="1">
        <w:r w:rsidRPr="00E1725E">
          <w:rPr>
            <w:rStyle w:val="Hyperlink"/>
            <w:sz w:val="24"/>
            <w:szCs w:val="24"/>
          </w:rPr>
          <w:t>Portaria Conjunta (GP) nº 5, de 28.09.2026</w:t>
        </w:r>
      </w:hyperlink>
      <w:r>
        <w:rPr>
          <w:color w:val="2E2E2E"/>
          <w:sz w:val="24"/>
          <w:szCs w:val="24"/>
        </w:rPr>
        <w:t xml:space="preserve"> -</w:t>
      </w:r>
      <w:r w:rsidRPr="00B83821">
        <w:rPr>
          <w:sz w:val="24"/>
          <w:szCs w:val="24"/>
        </w:rPr>
        <w:t xml:space="preserve"> Dispõe sobre limitação de empenho e movimentação financeira no âmbito do Poder Judiciário da União.</w:t>
      </w:r>
    </w:p>
    <w:p w14:paraId="417AFE7A" w14:textId="77777777" w:rsidR="00046C7B" w:rsidRDefault="00046C7B" w:rsidP="00DC61BE">
      <w:pPr>
        <w:jc w:val="left"/>
        <w:rPr>
          <w:color w:val="2E2E2E"/>
          <w:sz w:val="24"/>
          <w:szCs w:val="24"/>
        </w:rPr>
      </w:pPr>
    </w:p>
    <w:p w14:paraId="25AB96AF" w14:textId="77777777" w:rsidR="005029FC" w:rsidRPr="003172B4" w:rsidRDefault="00C1189D" w:rsidP="00C1189D">
      <w:pPr>
        <w:jc w:val="right"/>
        <w:rPr>
          <w:color w:val="000000"/>
          <w:sz w:val="20"/>
          <w:szCs w:val="20"/>
          <w:shd w:val="clear" w:color="auto" w:fill="FFFFFF"/>
        </w:rPr>
      </w:pPr>
      <w:hyperlink w:anchor="SUMÁRIO" w:history="1">
        <w:r w:rsidRPr="003172B4">
          <w:rPr>
            <w:rStyle w:val="Hyperlink"/>
            <w:sz w:val="16"/>
            <w:szCs w:val="16"/>
          </w:rPr>
          <w:t>Sumário</w:t>
        </w:r>
      </w:hyperlink>
    </w:p>
    <w:p w14:paraId="42C07CCF" w14:textId="77777777" w:rsidR="00CC5AF7" w:rsidRDefault="00CC5AF7" w:rsidP="00820E09">
      <w:pPr>
        <w:spacing w:line="360" w:lineRule="auto"/>
        <w:jc w:val="center"/>
        <w:rPr>
          <w:color w:val="000000"/>
          <w:sz w:val="24"/>
          <w:szCs w:val="24"/>
          <w:shd w:val="clear" w:color="auto" w:fill="FFFFFF"/>
        </w:rPr>
      </w:pPr>
    </w:p>
    <w:p w14:paraId="04D43B2C" w14:textId="5F35013C" w:rsidR="00CC5AF7" w:rsidRPr="00046E4E" w:rsidRDefault="00CC5AF7" w:rsidP="00CC5AF7">
      <w:pPr>
        <w:jc w:val="center"/>
        <w:rPr>
          <w:color w:val="000000"/>
          <w:sz w:val="22"/>
          <w:szCs w:val="22"/>
          <w:shd w:val="clear" w:color="auto" w:fill="FFFFFF"/>
        </w:rPr>
      </w:pPr>
      <w:r w:rsidRPr="00046E4E">
        <w:rPr>
          <w:color w:val="000000"/>
          <w:sz w:val="22"/>
          <w:szCs w:val="22"/>
          <w:shd w:val="clear" w:color="auto" w:fill="FFFFFF"/>
        </w:rPr>
        <w:t xml:space="preserve">Clique </w:t>
      </w:r>
      <w:hyperlink r:id="rId55" w:history="1">
        <w:r w:rsidRPr="00046E4E">
          <w:rPr>
            <w:rStyle w:val="Hyperlink"/>
            <w:b/>
            <w:bCs/>
            <w:sz w:val="22"/>
            <w:szCs w:val="22"/>
            <w:shd w:val="clear" w:color="auto" w:fill="FFFFFF"/>
          </w:rPr>
          <w:t>aqui</w:t>
        </w:r>
      </w:hyperlink>
      <w:r w:rsidRPr="00046E4E">
        <w:rPr>
          <w:color w:val="000000"/>
          <w:sz w:val="22"/>
          <w:szCs w:val="22"/>
          <w:shd w:val="clear" w:color="auto" w:fill="FFFFFF"/>
        </w:rPr>
        <w:t xml:space="preserve"> para acessar também a </w:t>
      </w:r>
      <w:r w:rsidRPr="00046E4E">
        <w:rPr>
          <w:b/>
          <w:bCs/>
          <w:color w:val="000000"/>
          <w:sz w:val="22"/>
          <w:szCs w:val="22"/>
          <w:shd w:val="clear" w:color="auto" w:fill="FFFFFF"/>
        </w:rPr>
        <w:t>planilha</w:t>
      </w:r>
      <w:r w:rsidRPr="00046E4E">
        <w:rPr>
          <w:color w:val="000000"/>
          <w:sz w:val="22"/>
          <w:szCs w:val="22"/>
          <w:shd w:val="clear" w:color="auto" w:fill="FFFFFF"/>
        </w:rPr>
        <w:t xml:space="preserve"> contendo </w:t>
      </w:r>
      <w:r w:rsidRPr="00046E4E">
        <w:rPr>
          <w:b/>
          <w:bCs/>
          <w:color w:val="000000"/>
          <w:sz w:val="22"/>
          <w:szCs w:val="22"/>
          <w:shd w:val="clear" w:color="auto" w:fill="FFFFFF"/>
        </w:rPr>
        <w:t>dados estruturados</w:t>
      </w:r>
      <w:r w:rsidRPr="00046E4E">
        <w:rPr>
          <w:color w:val="000000"/>
          <w:sz w:val="22"/>
          <w:szCs w:val="22"/>
          <w:shd w:val="clear" w:color="auto" w:fill="FFFFFF"/>
        </w:rPr>
        <w:t> de </w:t>
      </w:r>
      <w:r w:rsidRPr="00046E4E">
        <w:rPr>
          <w:b/>
          <w:bCs/>
          <w:color w:val="000000"/>
          <w:sz w:val="22"/>
          <w:szCs w:val="22"/>
          <w:shd w:val="clear" w:color="auto" w:fill="FFFFFF"/>
        </w:rPr>
        <w:t>todas</w:t>
      </w:r>
      <w:r w:rsidRPr="00046E4E">
        <w:rPr>
          <w:color w:val="000000"/>
          <w:sz w:val="22"/>
          <w:szCs w:val="22"/>
          <w:shd w:val="clear" w:color="auto" w:fill="FFFFFF"/>
        </w:rPr>
        <w:t> as edições do Informativo já publicadas no portal do STF.</w:t>
      </w:r>
    </w:p>
    <w:p w14:paraId="4D8B1181" w14:textId="77777777" w:rsidR="001C0EEB" w:rsidRDefault="001C0EEB" w:rsidP="00820E09">
      <w:pPr>
        <w:spacing w:line="360" w:lineRule="auto"/>
        <w:rPr>
          <w:sz w:val="24"/>
          <w:szCs w:val="20"/>
        </w:rPr>
      </w:pPr>
    </w:p>
    <w:p w14:paraId="54845B70" w14:textId="1C172C48" w:rsidR="00D25969" w:rsidRDefault="002254C9" w:rsidP="00820E09">
      <w:pPr>
        <w:spacing w:line="360" w:lineRule="auto"/>
        <w:rPr>
          <w:sz w:val="24"/>
          <w:szCs w:val="20"/>
        </w:rPr>
      </w:pPr>
      <w:r>
        <w:rPr>
          <w:sz w:val="24"/>
          <w:szCs w:val="20"/>
        </w:rPr>
        <w:t>-----------------------------------------------------------------------------------------------------------------</w:t>
      </w:r>
    </w:p>
    <w:p w14:paraId="3E092CF1" w14:textId="77777777" w:rsidR="005A3E20" w:rsidRPr="002254C9" w:rsidRDefault="005A3E20" w:rsidP="002254C9">
      <w:pPr>
        <w:spacing w:line="360" w:lineRule="auto"/>
        <w:jc w:val="center"/>
        <w:rPr>
          <w:b/>
          <w:bCs/>
          <w:sz w:val="24"/>
          <w:szCs w:val="20"/>
        </w:rPr>
      </w:pPr>
      <w:r w:rsidRPr="002254C9">
        <w:rPr>
          <w:b/>
          <w:bCs/>
          <w:sz w:val="24"/>
          <w:szCs w:val="20"/>
        </w:rPr>
        <w:t>PLENÁRIO VIRTUAL EM EVIDÊNCIA AGORA É PERIÓDICO AUTÔNOMO</w:t>
      </w:r>
    </w:p>
    <w:p w14:paraId="426F9BAF" w14:textId="77777777" w:rsidR="002254C9" w:rsidRDefault="002254C9" w:rsidP="005E0C2B">
      <w:pPr>
        <w:ind w:firstLine="709"/>
        <w:rPr>
          <w:sz w:val="24"/>
          <w:szCs w:val="20"/>
        </w:rPr>
      </w:pPr>
    </w:p>
    <w:p w14:paraId="010DDF2A" w14:textId="6D21BD7F" w:rsidR="005A3E20" w:rsidRPr="005A3E20" w:rsidRDefault="005A3E20" w:rsidP="00394762">
      <w:pPr>
        <w:spacing w:line="360" w:lineRule="auto"/>
        <w:ind w:firstLine="709"/>
        <w:rPr>
          <w:sz w:val="24"/>
          <w:szCs w:val="20"/>
        </w:rPr>
      </w:pPr>
      <w:r w:rsidRPr="005A3E20">
        <w:rPr>
          <w:sz w:val="24"/>
          <w:szCs w:val="20"/>
        </w:rPr>
        <w:t xml:space="preserve">O </w:t>
      </w:r>
      <w:r w:rsidRPr="002254C9">
        <w:rPr>
          <w:i/>
          <w:iCs/>
          <w:sz w:val="24"/>
          <w:szCs w:val="20"/>
        </w:rPr>
        <w:t>Plenário Virtual em Evidência</w:t>
      </w:r>
      <w:r w:rsidRPr="005A3E20">
        <w:rPr>
          <w:sz w:val="24"/>
          <w:szCs w:val="20"/>
        </w:rPr>
        <w:t xml:space="preserve">, criado para facilitar o acesso a informações sobre processos pautados no Plenário Virtual do STF, passou a ser publicado, desde fevereiro de </w:t>
      </w:r>
      <w:r w:rsidRPr="005A3E20">
        <w:rPr>
          <w:sz w:val="24"/>
          <w:szCs w:val="20"/>
        </w:rPr>
        <w:lastRenderedPageBreak/>
        <w:t xml:space="preserve">2024, como um periódico semanal autônomo. A iniciativa, lançada inicialmente em 2020 no </w:t>
      </w:r>
      <w:r w:rsidRPr="002254C9">
        <w:rPr>
          <w:i/>
          <w:iCs/>
          <w:sz w:val="24"/>
          <w:szCs w:val="20"/>
        </w:rPr>
        <w:t>Informativo STF</w:t>
      </w:r>
      <w:r w:rsidRPr="005A3E20">
        <w:rPr>
          <w:sz w:val="24"/>
          <w:szCs w:val="20"/>
        </w:rPr>
        <w:t xml:space="preserve">, ganhou novo formato gráfico, linguagem acessível e conteúdo ampliado, com foco em ações de controle de constitucionalidade e recursos com repercussão geral. </w:t>
      </w:r>
    </w:p>
    <w:p w14:paraId="0C36F7EC" w14:textId="77777777" w:rsidR="005A3E20" w:rsidRPr="005A3E20" w:rsidRDefault="005A3E20" w:rsidP="005E0C2B">
      <w:pPr>
        <w:spacing w:line="360" w:lineRule="auto"/>
        <w:ind w:firstLine="709"/>
        <w:rPr>
          <w:sz w:val="24"/>
          <w:szCs w:val="20"/>
        </w:rPr>
      </w:pPr>
      <w:r w:rsidRPr="005A3E20">
        <w:rPr>
          <w:sz w:val="24"/>
          <w:szCs w:val="20"/>
        </w:rPr>
        <w:t>As edições estão disponíveis no portal do STF, na seção “</w:t>
      </w:r>
      <w:r w:rsidRPr="005E0C2B">
        <w:rPr>
          <w:i/>
          <w:iCs/>
          <w:sz w:val="24"/>
          <w:szCs w:val="20"/>
        </w:rPr>
        <w:t>Jurisprudência &gt; Periódicos &gt; Plenário Virtual em Evidência</w:t>
      </w:r>
      <w:r w:rsidRPr="005A3E20">
        <w:rPr>
          <w:sz w:val="24"/>
          <w:szCs w:val="20"/>
        </w:rPr>
        <w:t xml:space="preserve">”: </w:t>
      </w:r>
    </w:p>
    <w:p w14:paraId="3F7C6FE9" w14:textId="33D1CBEA" w:rsidR="005A3E20" w:rsidRPr="005E0C2B" w:rsidRDefault="005A3E20" w:rsidP="005E0C2B">
      <w:pPr>
        <w:spacing w:line="360" w:lineRule="auto"/>
        <w:jc w:val="center"/>
        <w:rPr>
          <w:b/>
          <w:bCs/>
          <w:sz w:val="24"/>
          <w:szCs w:val="20"/>
        </w:rPr>
      </w:pPr>
      <w:r w:rsidRPr="005E0C2B">
        <w:rPr>
          <w:b/>
          <w:bCs/>
          <w:sz w:val="24"/>
          <w:szCs w:val="20"/>
        </w:rPr>
        <w:t>Acesse aqui:</w:t>
      </w:r>
    </w:p>
    <w:p w14:paraId="2BBB33C9" w14:textId="77777777" w:rsidR="005E0C2B" w:rsidRDefault="005A3E20" w:rsidP="005E0C2B">
      <w:pPr>
        <w:spacing w:line="360" w:lineRule="auto"/>
        <w:jc w:val="center"/>
        <w:rPr>
          <w:sz w:val="24"/>
          <w:szCs w:val="20"/>
        </w:rPr>
      </w:pPr>
      <w:r w:rsidRPr="00741C1E">
        <w:rPr>
          <w:b/>
          <w:bCs/>
          <w:iCs/>
          <w:smallCaps/>
          <w:noProof/>
          <w:sz w:val="22"/>
          <w:szCs w:val="22"/>
        </w:rPr>
        <w:drawing>
          <wp:inline distT="0" distB="0" distL="0" distR="0" wp14:anchorId="61ED8D8A" wp14:editId="715BC23E">
            <wp:extent cx="1783080" cy="279032"/>
            <wp:effectExtent l="0" t="0" r="7620" b="6985"/>
            <wp:docPr id="449582933" name="Imagem 3" descr="Uma imagem contendo Logotipo&#10;&#10;O conteúdo gerado por IA pode estar incorreto.">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2933" name="Imagem 3" descr="Uma imagem contendo Logotipo&#10;&#10;O conteúdo gerado por IA pode estar incorreto.">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19219" cy="284687"/>
                    </a:xfrm>
                    <a:prstGeom prst="rect">
                      <a:avLst/>
                    </a:prstGeom>
                    <a:noFill/>
                    <a:ln>
                      <a:noFill/>
                    </a:ln>
                  </pic:spPr>
                </pic:pic>
              </a:graphicData>
            </a:graphic>
          </wp:inline>
        </w:drawing>
      </w:r>
    </w:p>
    <w:p w14:paraId="1E7F817D" w14:textId="1D7BA6D0" w:rsidR="005E0C2B" w:rsidRDefault="005E0C2B" w:rsidP="005E0C2B">
      <w:pPr>
        <w:spacing w:line="360" w:lineRule="auto"/>
        <w:jc w:val="center"/>
        <w:rPr>
          <w:sz w:val="24"/>
          <w:szCs w:val="20"/>
        </w:rPr>
      </w:pPr>
      <w:r>
        <w:rPr>
          <w:sz w:val="24"/>
          <w:szCs w:val="20"/>
        </w:rPr>
        <w:t>-----------------------------------------------------------------------------------------------------------------</w:t>
      </w:r>
    </w:p>
    <w:p w14:paraId="2E084072" w14:textId="77777777" w:rsidR="005A3E20" w:rsidRDefault="005A3E20" w:rsidP="005A3E20">
      <w:pPr>
        <w:spacing w:line="360" w:lineRule="auto"/>
        <w:rPr>
          <w:sz w:val="24"/>
          <w:szCs w:val="20"/>
        </w:rPr>
      </w:pPr>
    </w:p>
    <w:p w14:paraId="6B2B60A5" w14:textId="77777777" w:rsidR="00E6618C" w:rsidRPr="003172B4" w:rsidRDefault="00E6618C" w:rsidP="00E6618C">
      <w:pPr>
        <w:pBdr>
          <w:top w:val="single" w:sz="6" w:space="2" w:color="auto"/>
          <w:left w:val="single" w:sz="6" w:space="2" w:color="auto"/>
          <w:bottom w:val="single" w:sz="6" w:space="2" w:color="auto"/>
          <w:right w:val="single" w:sz="6" w:space="2" w:color="auto"/>
        </w:pBdr>
        <w:jc w:val="center"/>
        <w:rPr>
          <w:b/>
          <w:sz w:val="16"/>
          <w:szCs w:val="16"/>
        </w:rPr>
      </w:pPr>
      <w:r w:rsidRPr="003172B4">
        <w:rPr>
          <w:b/>
          <w:sz w:val="16"/>
          <w:szCs w:val="16"/>
        </w:rPr>
        <w:t>Supremo Tribunal Federal – STF</w:t>
      </w:r>
    </w:p>
    <w:p w14:paraId="7A279186" w14:textId="7F285A9A" w:rsidR="00E6618C" w:rsidRPr="003172B4" w:rsidRDefault="00990233" w:rsidP="00E6618C">
      <w:pPr>
        <w:pBdr>
          <w:top w:val="single" w:sz="6" w:space="2" w:color="auto"/>
          <w:left w:val="single" w:sz="6" w:space="2" w:color="auto"/>
          <w:bottom w:val="single" w:sz="6" w:space="2" w:color="auto"/>
          <w:right w:val="single" w:sz="6" w:space="2" w:color="auto"/>
        </w:pBdr>
        <w:jc w:val="center"/>
        <w:rPr>
          <w:b/>
          <w:sz w:val="16"/>
          <w:szCs w:val="16"/>
        </w:rPr>
      </w:pPr>
      <w:r>
        <w:rPr>
          <w:noProof/>
        </w:rPr>
        <mc:AlternateContent>
          <mc:Choice Requires="wpg">
            <w:drawing>
              <wp:anchor distT="0" distB="0" distL="114300" distR="114300" simplePos="0" relativeHeight="251655168" behindDoc="0" locked="0" layoutInCell="1" allowOverlap="1" wp14:anchorId="30BB174C" wp14:editId="4A717F2A">
                <wp:simplePos x="0" y="0"/>
                <wp:positionH relativeFrom="column">
                  <wp:posOffset>1243965</wp:posOffset>
                </wp:positionH>
                <wp:positionV relativeFrom="paragraph">
                  <wp:posOffset>1645285</wp:posOffset>
                </wp:positionV>
                <wp:extent cx="2265680" cy="154940"/>
                <wp:effectExtent l="0" t="0" r="0" b="0"/>
                <wp:wrapSquare wrapText="bothSides"/>
                <wp:docPr id="4614" name="Group 4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5680" cy="154940"/>
                          <a:chOff x="0" y="0"/>
                          <a:chExt cx="2265480" cy="2608233"/>
                        </a:xfrm>
                      </wpg:grpSpPr>
                      <wps:wsp>
                        <wps:cNvPr id="454" name="Rectangle 454"/>
                        <wps:cNvSpPr/>
                        <wps:spPr>
                          <a:xfrm rot="-3179995">
                            <a:off x="-229625" y="468307"/>
                            <a:ext cx="3472340" cy="1156195"/>
                          </a:xfrm>
                          <a:prstGeom prst="rect">
                            <a:avLst/>
                          </a:prstGeom>
                          <a:ln>
                            <a:noFill/>
                          </a:ln>
                        </wps:spPr>
                        <wps:txbx>
                          <w:txbxContent>
                            <w:p w14:paraId="5F7E803C" w14:textId="77777777" w:rsidR="00862420" w:rsidRDefault="00862420" w:rsidP="00E6618C">
                              <w:pPr>
                                <w:spacing w:after="160" w:line="259" w:lineRule="auto"/>
                                <w:jc w:val="left"/>
                              </w:pP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0BB174C" id="Group 4614" o:spid="_x0000_s1026" style="position:absolute;left:0;text-align:left;margin-left:97.95pt;margin-top:129.55pt;width:178.4pt;height:12.2pt;z-index:251655168" coordsize="22654,2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">
                <v:rect id="Rectangle 454" o:spid="_x0000_s1027" style="position:absolute;left:-2296;top:4683;width:34722;height:11562;rotation:-347340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" filled="f" stroked="f">
                  <v:textbox inset="0,0,0,0">
                    <w:txbxContent>
                      <w:p w14:paraId="5F7E803C" w14:textId="77777777" w:rsidR="00862420" w:rsidRDefault="00862420" w:rsidP="00E6618C">
                        <w:pPr>
                          <w:spacing w:after="160" w:line="259" w:lineRule="auto"/>
                          <w:jc w:val="left"/>
                        </w:pPr>
                      </w:p>
                    </w:txbxContent>
                  </v:textbox>
                </v:rect>
                <w10:wrap type="square"/>
              </v:group>
            </w:pict>
          </mc:Fallback>
        </mc:AlternateContent>
      </w:r>
      <w:r w:rsidR="00E6618C" w:rsidRPr="003172B4">
        <w:rPr>
          <w:b/>
          <w:sz w:val="16"/>
          <w:szCs w:val="16"/>
        </w:rPr>
        <w:t>Secretaria de Altos Estudos, Pesquisas e Gestão da Informação</w:t>
      </w:r>
      <w:r w:rsidR="00BD106A" w:rsidRPr="003172B4">
        <w:rPr>
          <w:b/>
          <w:sz w:val="16"/>
          <w:szCs w:val="16"/>
        </w:rPr>
        <w:t xml:space="preserve"> - SAE</w:t>
      </w:r>
      <w:r w:rsidR="00E6618C" w:rsidRPr="003172B4">
        <w:rPr>
          <w:b/>
          <w:sz w:val="16"/>
          <w:szCs w:val="16"/>
        </w:rPr>
        <w:t xml:space="preserve"> </w:t>
      </w:r>
    </w:p>
    <w:p w14:paraId="5B06BDFC" w14:textId="77777777" w:rsidR="00E6618C" w:rsidRPr="003172B4" w:rsidRDefault="00E6618C" w:rsidP="00E6618C">
      <w:pPr>
        <w:pBdr>
          <w:top w:val="single" w:sz="6" w:space="2" w:color="auto"/>
          <w:left w:val="single" w:sz="6" w:space="2" w:color="auto"/>
          <w:bottom w:val="single" w:sz="6" w:space="2" w:color="auto"/>
          <w:right w:val="single" w:sz="6" w:space="2" w:color="auto"/>
        </w:pBdr>
        <w:jc w:val="center"/>
        <w:rPr>
          <w:b/>
          <w:sz w:val="16"/>
          <w:szCs w:val="16"/>
        </w:rPr>
      </w:pPr>
      <w:r w:rsidRPr="003172B4">
        <w:rPr>
          <w:b/>
          <w:bCs/>
          <w:sz w:val="16"/>
          <w:szCs w:val="16"/>
          <w:shd w:val="clear" w:color="auto" w:fill="FFFFFF"/>
        </w:rPr>
        <w:t>Coordenadoria de Difusão da Informação</w:t>
      </w:r>
      <w:r w:rsidR="00BD106A" w:rsidRPr="003172B4">
        <w:rPr>
          <w:b/>
          <w:bCs/>
          <w:sz w:val="16"/>
          <w:szCs w:val="16"/>
          <w:shd w:val="clear" w:color="auto" w:fill="FFFFFF"/>
        </w:rPr>
        <w:t xml:space="preserve"> - CODI</w:t>
      </w:r>
      <w:r w:rsidRPr="003172B4">
        <w:rPr>
          <w:b/>
          <w:bCs/>
          <w:sz w:val="16"/>
          <w:szCs w:val="16"/>
          <w:shd w:val="clear" w:color="auto" w:fill="FFFFFF"/>
        </w:rPr>
        <w:br/>
      </w:r>
      <w:hyperlink r:id="rId58" w:history="1">
        <w:proofErr w:type="spellStart"/>
        <w:r w:rsidR="00A314D0" w:rsidRPr="003172B4">
          <w:rPr>
            <w:rStyle w:val="Hyperlink"/>
            <w:sz w:val="16"/>
            <w:szCs w:val="16"/>
            <w:shd w:val="clear" w:color="auto" w:fill="FFFFFF"/>
          </w:rPr>
          <w:t>codi</w:t>
        </w:r>
        <w:r w:rsidRPr="003172B4">
          <w:rPr>
            <w:rStyle w:val="Hyperlink"/>
            <w:sz w:val="16"/>
            <w:szCs w:val="16"/>
            <w:shd w:val="clear" w:color="auto" w:fill="FFFFFF"/>
          </w:rPr>
          <w:t>@stf.jus.br</w:t>
        </w:r>
        <w:proofErr w:type="spellEnd"/>
      </w:hyperlink>
    </w:p>
    <w:sectPr w:rsidR="00E6618C" w:rsidRPr="003172B4" w:rsidSect="003C4979">
      <w:headerReference w:type="default" r:id="rId59"/>
      <w:footerReference w:type="even" r:id="rId60"/>
      <w:footerReference w:type="default" r:id="rId61"/>
      <w:pgSz w:w="11907" w:h="16840"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68709" w14:textId="77777777" w:rsidR="009C4FF8" w:rsidRDefault="009C4FF8">
      <w:r>
        <w:separator/>
      </w:r>
    </w:p>
  </w:endnote>
  <w:endnote w:type="continuationSeparator" w:id="0">
    <w:p w14:paraId="37476365" w14:textId="77777777" w:rsidR="009C4FF8" w:rsidRDefault="009C4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C356" w14:textId="77777777" w:rsidR="00862420" w:rsidRDefault="00862420" w:rsidP="00F376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5988D30" w14:textId="77777777" w:rsidR="00862420" w:rsidRDefault="00862420" w:rsidP="007C5522">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446B" w14:textId="77777777" w:rsidR="00862420" w:rsidRDefault="00862420" w:rsidP="00F376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C546C">
      <w:rPr>
        <w:rStyle w:val="Nmerodepgina"/>
        <w:noProof/>
      </w:rPr>
      <w:t>3</w:t>
    </w:r>
    <w:r>
      <w:rPr>
        <w:rStyle w:val="Nmerodepgina"/>
      </w:rPr>
      <w:fldChar w:fldCharType="end"/>
    </w:r>
  </w:p>
  <w:p w14:paraId="3FBAB55B" w14:textId="77777777" w:rsidR="00862420" w:rsidRDefault="00862420" w:rsidP="007C5522">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E4F3B" w14:textId="77777777" w:rsidR="009C4FF8" w:rsidRDefault="009C4FF8">
      <w:r>
        <w:separator/>
      </w:r>
    </w:p>
  </w:footnote>
  <w:footnote w:type="continuationSeparator" w:id="0">
    <w:p w14:paraId="4D50C970" w14:textId="77777777" w:rsidR="009C4FF8" w:rsidRDefault="009C4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55DF" w14:textId="77777777" w:rsidR="00213B2C" w:rsidRDefault="00213B2C">
    <w:pPr>
      <w:pStyle w:val="Cabealho"/>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51E46"/>
    <w:multiLevelType w:val="hybridMultilevel"/>
    <w:tmpl w:val="FFFFFFFF"/>
    <w:lvl w:ilvl="0" w:tplc="4A86648E">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 w15:restartNumberingAfterBreak="0">
    <w:nsid w:val="08753036"/>
    <w:multiLevelType w:val="hybridMultilevel"/>
    <w:tmpl w:val="FFFFFFFF"/>
    <w:lvl w:ilvl="0" w:tplc="04160001">
      <w:start w:val="1"/>
      <w:numFmt w:val="bullet"/>
      <w:lvlText w:val=""/>
      <w:lvlJc w:val="left"/>
      <w:pPr>
        <w:ind w:left="4974" w:hanging="360"/>
      </w:pPr>
      <w:rPr>
        <w:rFonts w:ascii="Symbol" w:hAnsi="Symbol" w:hint="default"/>
      </w:rPr>
    </w:lvl>
    <w:lvl w:ilvl="1" w:tplc="04160003" w:tentative="1">
      <w:start w:val="1"/>
      <w:numFmt w:val="bullet"/>
      <w:lvlText w:val="o"/>
      <w:lvlJc w:val="left"/>
      <w:pPr>
        <w:ind w:left="5694" w:hanging="360"/>
      </w:pPr>
      <w:rPr>
        <w:rFonts w:ascii="Courier New" w:hAnsi="Courier New" w:hint="default"/>
      </w:rPr>
    </w:lvl>
    <w:lvl w:ilvl="2" w:tplc="04160005" w:tentative="1">
      <w:start w:val="1"/>
      <w:numFmt w:val="bullet"/>
      <w:lvlText w:val=""/>
      <w:lvlJc w:val="left"/>
      <w:pPr>
        <w:ind w:left="6414" w:hanging="360"/>
      </w:pPr>
      <w:rPr>
        <w:rFonts w:ascii="Wingdings" w:hAnsi="Wingdings" w:hint="default"/>
      </w:rPr>
    </w:lvl>
    <w:lvl w:ilvl="3" w:tplc="04160001" w:tentative="1">
      <w:start w:val="1"/>
      <w:numFmt w:val="bullet"/>
      <w:lvlText w:val=""/>
      <w:lvlJc w:val="left"/>
      <w:pPr>
        <w:ind w:left="7134" w:hanging="360"/>
      </w:pPr>
      <w:rPr>
        <w:rFonts w:ascii="Symbol" w:hAnsi="Symbol" w:hint="default"/>
      </w:rPr>
    </w:lvl>
    <w:lvl w:ilvl="4" w:tplc="04160003" w:tentative="1">
      <w:start w:val="1"/>
      <w:numFmt w:val="bullet"/>
      <w:lvlText w:val="o"/>
      <w:lvlJc w:val="left"/>
      <w:pPr>
        <w:ind w:left="7854" w:hanging="360"/>
      </w:pPr>
      <w:rPr>
        <w:rFonts w:ascii="Courier New" w:hAnsi="Courier New" w:hint="default"/>
      </w:rPr>
    </w:lvl>
    <w:lvl w:ilvl="5" w:tplc="04160005" w:tentative="1">
      <w:start w:val="1"/>
      <w:numFmt w:val="bullet"/>
      <w:lvlText w:val=""/>
      <w:lvlJc w:val="left"/>
      <w:pPr>
        <w:ind w:left="8574" w:hanging="360"/>
      </w:pPr>
      <w:rPr>
        <w:rFonts w:ascii="Wingdings" w:hAnsi="Wingdings" w:hint="default"/>
      </w:rPr>
    </w:lvl>
    <w:lvl w:ilvl="6" w:tplc="04160001" w:tentative="1">
      <w:start w:val="1"/>
      <w:numFmt w:val="bullet"/>
      <w:lvlText w:val=""/>
      <w:lvlJc w:val="left"/>
      <w:pPr>
        <w:ind w:left="9294" w:hanging="360"/>
      </w:pPr>
      <w:rPr>
        <w:rFonts w:ascii="Symbol" w:hAnsi="Symbol" w:hint="default"/>
      </w:rPr>
    </w:lvl>
    <w:lvl w:ilvl="7" w:tplc="04160003" w:tentative="1">
      <w:start w:val="1"/>
      <w:numFmt w:val="bullet"/>
      <w:lvlText w:val="o"/>
      <w:lvlJc w:val="left"/>
      <w:pPr>
        <w:ind w:left="10014" w:hanging="360"/>
      </w:pPr>
      <w:rPr>
        <w:rFonts w:ascii="Courier New" w:hAnsi="Courier New" w:hint="default"/>
      </w:rPr>
    </w:lvl>
    <w:lvl w:ilvl="8" w:tplc="04160005" w:tentative="1">
      <w:start w:val="1"/>
      <w:numFmt w:val="bullet"/>
      <w:lvlText w:val=""/>
      <w:lvlJc w:val="left"/>
      <w:pPr>
        <w:ind w:left="10734" w:hanging="360"/>
      </w:pPr>
      <w:rPr>
        <w:rFonts w:ascii="Wingdings" w:hAnsi="Wingdings" w:hint="default"/>
      </w:rPr>
    </w:lvl>
  </w:abstractNum>
  <w:abstractNum w:abstractNumId="2" w15:restartNumberingAfterBreak="0">
    <w:nsid w:val="152C7928"/>
    <w:multiLevelType w:val="hybridMultilevel"/>
    <w:tmpl w:val="FFFFFFFF"/>
    <w:lvl w:ilvl="0" w:tplc="BEB25E00">
      <w:start w:val="1"/>
      <w:numFmt w:val="decimal"/>
      <w:suff w:val="space"/>
      <w:lvlText w:val="(%1)"/>
      <w:lvlJc w:val="left"/>
      <w:pPr>
        <w:ind w:firstLine="567"/>
      </w:pPr>
      <w:rPr>
        <w:rFonts w:cs="Times New Roman" w:hint="default"/>
        <w:color w:val="auto"/>
      </w:rPr>
    </w:lvl>
    <w:lvl w:ilvl="1" w:tplc="04160019" w:tentative="1">
      <w:start w:val="1"/>
      <w:numFmt w:val="lowerLetter"/>
      <w:lvlText w:val="%2."/>
      <w:lvlJc w:val="left"/>
      <w:pPr>
        <w:ind w:left="1785" w:hanging="360"/>
      </w:pPr>
      <w:rPr>
        <w:rFonts w:cs="Times New Roman"/>
      </w:rPr>
    </w:lvl>
    <w:lvl w:ilvl="2" w:tplc="0416001B" w:tentative="1">
      <w:start w:val="1"/>
      <w:numFmt w:val="lowerRoman"/>
      <w:lvlText w:val="%3."/>
      <w:lvlJc w:val="right"/>
      <w:pPr>
        <w:ind w:left="2505" w:hanging="180"/>
      </w:pPr>
      <w:rPr>
        <w:rFonts w:cs="Times New Roman"/>
      </w:rPr>
    </w:lvl>
    <w:lvl w:ilvl="3" w:tplc="0416000F" w:tentative="1">
      <w:start w:val="1"/>
      <w:numFmt w:val="decimal"/>
      <w:lvlText w:val="%4."/>
      <w:lvlJc w:val="left"/>
      <w:pPr>
        <w:ind w:left="3225" w:hanging="360"/>
      </w:pPr>
      <w:rPr>
        <w:rFonts w:cs="Times New Roman"/>
      </w:rPr>
    </w:lvl>
    <w:lvl w:ilvl="4" w:tplc="04160019" w:tentative="1">
      <w:start w:val="1"/>
      <w:numFmt w:val="lowerLetter"/>
      <w:lvlText w:val="%5."/>
      <w:lvlJc w:val="left"/>
      <w:pPr>
        <w:ind w:left="3945" w:hanging="360"/>
      </w:pPr>
      <w:rPr>
        <w:rFonts w:cs="Times New Roman"/>
      </w:rPr>
    </w:lvl>
    <w:lvl w:ilvl="5" w:tplc="0416001B" w:tentative="1">
      <w:start w:val="1"/>
      <w:numFmt w:val="lowerRoman"/>
      <w:lvlText w:val="%6."/>
      <w:lvlJc w:val="right"/>
      <w:pPr>
        <w:ind w:left="4665" w:hanging="180"/>
      </w:pPr>
      <w:rPr>
        <w:rFonts w:cs="Times New Roman"/>
      </w:rPr>
    </w:lvl>
    <w:lvl w:ilvl="6" w:tplc="0416000F" w:tentative="1">
      <w:start w:val="1"/>
      <w:numFmt w:val="decimal"/>
      <w:lvlText w:val="%7."/>
      <w:lvlJc w:val="left"/>
      <w:pPr>
        <w:ind w:left="5385" w:hanging="360"/>
      </w:pPr>
      <w:rPr>
        <w:rFonts w:cs="Times New Roman"/>
      </w:rPr>
    </w:lvl>
    <w:lvl w:ilvl="7" w:tplc="04160019" w:tentative="1">
      <w:start w:val="1"/>
      <w:numFmt w:val="lowerLetter"/>
      <w:lvlText w:val="%8."/>
      <w:lvlJc w:val="left"/>
      <w:pPr>
        <w:ind w:left="6105" w:hanging="360"/>
      </w:pPr>
      <w:rPr>
        <w:rFonts w:cs="Times New Roman"/>
      </w:rPr>
    </w:lvl>
    <w:lvl w:ilvl="8" w:tplc="0416001B" w:tentative="1">
      <w:start w:val="1"/>
      <w:numFmt w:val="lowerRoman"/>
      <w:lvlText w:val="%9."/>
      <w:lvlJc w:val="right"/>
      <w:pPr>
        <w:ind w:left="6825" w:hanging="180"/>
      </w:pPr>
      <w:rPr>
        <w:rFonts w:cs="Times New Roman"/>
      </w:rPr>
    </w:lvl>
  </w:abstractNum>
  <w:abstractNum w:abstractNumId="3" w15:restartNumberingAfterBreak="0">
    <w:nsid w:val="1EB70112"/>
    <w:multiLevelType w:val="hybridMultilevel"/>
    <w:tmpl w:val="FFFFFFFF"/>
    <w:lvl w:ilvl="0" w:tplc="04160001">
      <w:start w:val="1"/>
      <w:numFmt w:val="bullet"/>
      <w:lvlText w:val=""/>
      <w:lvlJc w:val="left"/>
      <w:pPr>
        <w:ind w:left="1778" w:hanging="360"/>
      </w:pPr>
      <w:rPr>
        <w:rFonts w:ascii="Symbol" w:hAnsi="Symbol" w:hint="default"/>
      </w:rPr>
    </w:lvl>
    <w:lvl w:ilvl="1" w:tplc="04160003" w:tentative="1">
      <w:start w:val="1"/>
      <w:numFmt w:val="bullet"/>
      <w:lvlText w:val="o"/>
      <w:lvlJc w:val="left"/>
      <w:pPr>
        <w:ind w:left="2498" w:hanging="360"/>
      </w:pPr>
      <w:rPr>
        <w:rFonts w:ascii="Courier New" w:hAnsi="Courier New" w:hint="default"/>
      </w:rPr>
    </w:lvl>
    <w:lvl w:ilvl="2" w:tplc="04160005" w:tentative="1">
      <w:start w:val="1"/>
      <w:numFmt w:val="bullet"/>
      <w:lvlText w:val=""/>
      <w:lvlJc w:val="left"/>
      <w:pPr>
        <w:ind w:left="3218" w:hanging="360"/>
      </w:pPr>
      <w:rPr>
        <w:rFonts w:ascii="Wingdings" w:hAnsi="Wingdings" w:hint="default"/>
      </w:rPr>
    </w:lvl>
    <w:lvl w:ilvl="3" w:tplc="04160001" w:tentative="1">
      <w:start w:val="1"/>
      <w:numFmt w:val="bullet"/>
      <w:lvlText w:val=""/>
      <w:lvlJc w:val="left"/>
      <w:pPr>
        <w:ind w:left="3938" w:hanging="360"/>
      </w:pPr>
      <w:rPr>
        <w:rFonts w:ascii="Symbol" w:hAnsi="Symbol" w:hint="default"/>
      </w:rPr>
    </w:lvl>
    <w:lvl w:ilvl="4" w:tplc="04160003" w:tentative="1">
      <w:start w:val="1"/>
      <w:numFmt w:val="bullet"/>
      <w:lvlText w:val="o"/>
      <w:lvlJc w:val="left"/>
      <w:pPr>
        <w:ind w:left="4658" w:hanging="360"/>
      </w:pPr>
      <w:rPr>
        <w:rFonts w:ascii="Courier New" w:hAnsi="Courier New" w:hint="default"/>
      </w:rPr>
    </w:lvl>
    <w:lvl w:ilvl="5" w:tplc="04160005" w:tentative="1">
      <w:start w:val="1"/>
      <w:numFmt w:val="bullet"/>
      <w:lvlText w:val=""/>
      <w:lvlJc w:val="left"/>
      <w:pPr>
        <w:ind w:left="5378" w:hanging="360"/>
      </w:pPr>
      <w:rPr>
        <w:rFonts w:ascii="Wingdings" w:hAnsi="Wingdings" w:hint="default"/>
      </w:rPr>
    </w:lvl>
    <w:lvl w:ilvl="6" w:tplc="04160001" w:tentative="1">
      <w:start w:val="1"/>
      <w:numFmt w:val="bullet"/>
      <w:lvlText w:val=""/>
      <w:lvlJc w:val="left"/>
      <w:pPr>
        <w:ind w:left="6098" w:hanging="360"/>
      </w:pPr>
      <w:rPr>
        <w:rFonts w:ascii="Symbol" w:hAnsi="Symbol" w:hint="default"/>
      </w:rPr>
    </w:lvl>
    <w:lvl w:ilvl="7" w:tplc="04160003" w:tentative="1">
      <w:start w:val="1"/>
      <w:numFmt w:val="bullet"/>
      <w:lvlText w:val="o"/>
      <w:lvlJc w:val="left"/>
      <w:pPr>
        <w:ind w:left="6818" w:hanging="360"/>
      </w:pPr>
      <w:rPr>
        <w:rFonts w:ascii="Courier New" w:hAnsi="Courier New" w:hint="default"/>
      </w:rPr>
    </w:lvl>
    <w:lvl w:ilvl="8" w:tplc="04160005" w:tentative="1">
      <w:start w:val="1"/>
      <w:numFmt w:val="bullet"/>
      <w:lvlText w:val=""/>
      <w:lvlJc w:val="left"/>
      <w:pPr>
        <w:ind w:left="7538" w:hanging="360"/>
      </w:pPr>
      <w:rPr>
        <w:rFonts w:ascii="Wingdings" w:hAnsi="Wingdings" w:hint="default"/>
      </w:rPr>
    </w:lvl>
  </w:abstractNum>
  <w:abstractNum w:abstractNumId="4" w15:restartNumberingAfterBreak="0">
    <w:nsid w:val="1F890320"/>
    <w:multiLevelType w:val="hybridMultilevel"/>
    <w:tmpl w:val="FFFFFFFF"/>
    <w:lvl w:ilvl="0" w:tplc="F7DE868C">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5" w15:restartNumberingAfterBreak="0">
    <w:nsid w:val="2052245B"/>
    <w:multiLevelType w:val="hybridMultilevel"/>
    <w:tmpl w:val="FFFFFFFF"/>
    <w:lvl w:ilvl="0" w:tplc="2BF004DA">
      <w:start w:val="1"/>
      <w:numFmt w:val="decimal"/>
      <w:lvlText w:val="(%1)"/>
      <w:lvlJc w:val="left"/>
      <w:pPr>
        <w:ind w:left="814" w:hanging="360"/>
      </w:pPr>
      <w:rPr>
        <w:rFonts w:ascii="Times New Roman" w:eastAsia="Times New Roman" w:hAnsi="Times New Roman" w:cs="Times New Roman"/>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6" w15:restartNumberingAfterBreak="0">
    <w:nsid w:val="2A5E1AE4"/>
    <w:multiLevelType w:val="hybridMultilevel"/>
    <w:tmpl w:val="FFFFFFFF"/>
    <w:lvl w:ilvl="0" w:tplc="04160001">
      <w:start w:val="5"/>
      <w:numFmt w:val="bullet"/>
      <w:lvlText w:val=""/>
      <w:lvlJc w:val="left"/>
      <w:pPr>
        <w:tabs>
          <w:tab w:val="num" w:pos="720"/>
        </w:tabs>
        <w:ind w:left="720" w:hanging="360"/>
      </w:pPr>
      <w:rPr>
        <w:rFonts w:ascii="Symbol" w:eastAsia="Times New Roman"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9713A"/>
    <w:multiLevelType w:val="hybridMultilevel"/>
    <w:tmpl w:val="0FFA3A50"/>
    <w:lvl w:ilvl="0" w:tplc="9B70AF56">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BA3299A"/>
    <w:multiLevelType w:val="hybridMultilevel"/>
    <w:tmpl w:val="FFFFFFFF"/>
    <w:lvl w:ilvl="0" w:tplc="04160005">
      <w:start w:val="1"/>
      <w:numFmt w:val="bullet"/>
      <w:lvlText w:val=""/>
      <w:lvlJc w:val="left"/>
      <w:pPr>
        <w:ind w:left="5694" w:hanging="360"/>
      </w:pPr>
      <w:rPr>
        <w:rFonts w:ascii="Wingdings" w:hAnsi="Wingdings" w:hint="default"/>
      </w:rPr>
    </w:lvl>
    <w:lvl w:ilvl="1" w:tplc="04160003" w:tentative="1">
      <w:start w:val="1"/>
      <w:numFmt w:val="bullet"/>
      <w:lvlText w:val="o"/>
      <w:lvlJc w:val="left"/>
      <w:pPr>
        <w:ind w:left="6414" w:hanging="360"/>
      </w:pPr>
      <w:rPr>
        <w:rFonts w:ascii="Courier New" w:hAnsi="Courier New" w:hint="default"/>
      </w:rPr>
    </w:lvl>
    <w:lvl w:ilvl="2" w:tplc="04160005" w:tentative="1">
      <w:start w:val="1"/>
      <w:numFmt w:val="bullet"/>
      <w:lvlText w:val=""/>
      <w:lvlJc w:val="left"/>
      <w:pPr>
        <w:ind w:left="7134" w:hanging="360"/>
      </w:pPr>
      <w:rPr>
        <w:rFonts w:ascii="Wingdings" w:hAnsi="Wingdings" w:hint="default"/>
      </w:rPr>
    </w:lvl>
    <w:lvl w:ilvl="3" w:tplc="04160001" w:tentative="1">
      <w:start w:val="1"/>
      <w:numFmt w:val="bullet"/>
      <w:lvlText w:val=""/>
      <w:lvlJc w:val="left"/>
      <w:pPr>
        <w:ind w:left="7854" w:hanging="360"/>
      </w:pPr>
      <w:rPr>
        <w:rFonts w:ascii="Symbol" w:hAnsi="Symbol" w:hint="default"/>
      </w:rPr>
    </w:lvl>
    <w:lvl w:ilvl="4" w:tplc="04160003" w:tentative="1">
      <w:start w:val="1"/>
      <w:numFmt w:val="bullet"/>
      <w:lvlText w:val="o"/>
      <w:lvlJc w:val="left"/>
      <w:pPr>
        <w:ind w:left="8574" w:hanging="360"/>
      </w:pPr>
      <w:rPr>
        <w:rFonts w:ascii="Courier New" w:hAnsi="Courier New" w:hint="default"/>
      </w:rPr>
    </w:lvl>
    <w:lvl w:ilvl="5" w:tplc="04160005" w:tentative="1">
      <w:start w:val="1"/>
      <w:numFmt w:val="bullet"/>
      <w:lvlText w:val=""/>
      <w:lvlJc w:val="left"/>
      <w:pPr>
        <w:ind w:left="9294" w:hanging="360"/>
      </w:pPr>
      <w:rPr>
        <w:rFonts w:ascii="Wingdings" w:hAnsi="Wingdings" w:hint="default"/>
      </w:rPr>
    </w:lvl>
    <w:lvl w:ilvl="6" w:tplc="04160001" w:tentative="1">
      <w:start w:val="1"/>
      <w:numFmt w:val="bullet"/>
      <w:lvlText w:val=""/>
      <w:lvlJc w:val="left"/>
      <w:pPr>
        <w:ind w:left="10014" w:hanging="360"/>
      </w:pPr>
      <w:rPr>
        <w:rFonts w:ascii="Symbol" w:hAnsi="Symbol" w:hint="default"/>
      </w:rPr>
    </w:lvl>
    <w:lvl w:ilvl="7" w:tplc="04160003" w:tentative="1">
      <w:start w:val="1"/>
      <w:numFmt w:val="bullet"/>
      <w:lvlText w:val="o"/>
      <w:lvlJc w:val="left"/>
      <w:pPr>
        <w:ind w:left="10734" w:hanging="360"/>
      </w:pPr>
      <w:rPr>
        <w:rFonts w:ascii="Courier New" w:hAnsi="Courier New" w:hint="default"/>
      </w:rPr>
    </w:lvl>
    <w:lvl w:ilvl="8" w:tplc="04160005" w:tentative="1">
      <w:start w:val="1"/>
      <w:numFmt w:val="bullet"/>
      <w:lvlText w:val=""/>
      <w:lvlJc w:val="left"/>
      <w:pPr>
        <w:ind w:left="11454" w:hanging="360"/>
      </w:pPr>
      <w:rPr>
        <w:rFonts w:ascii="Wingdings" w:hAnsi="Wingdings" w:hint="default"/>
      </w:rPr>
    </w:lvl>
  </w:abstractNum>
  <w:abstractNum w:abstractNumId="9" w15:restartNumberingAfterBreak="0">
    <w:nsid w:val="4121568F"/>
    <w:multiLevelType w:val="hybridMultilevel"/>
    <w:tmpl w:val="FFFFFFFF"/>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5533C41"/>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EB964BB"/>
    <w:multiLevelType w:val="hybridMultilevel"/>
    <w:tmpl w:val="FFFFFFFF"/>
    <w:lvl w:ilvl="0" w:tplc="5D6C7E06">
      <w:start w:val="1"/>
      <w:numFmt w:val="decimal"/>
      <w:lvlText w:val="(%1)"/>
      <w:lvlJc w:val="left"/>
      <w:pPr>
        <w:ind w:left="814" w:hanging="360"/>
      </w:pPr>
      <w:rPr>
        <w:rFonts w:cs="Times New Roman" w:hint="default"/>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12" w15:restartNumberingAfterBreak="0">
    <w:nsid w:val="4F400A99"/>
    <w:multiLevelType w:val="hybridMultilevel"/>
    <w:tmpl w:val="FFFFFFFF"/>
    <w:lvl w:ilvl="0" w:tplc="6A1AF186">
      <w:start w:val="1"/>
      <w:numFmt w:val="decimal"/>
      <w:lvlText w:val="(%1)"/>
      <w:lvlJc w:val="left"/>
      <w:pPr>
        <w:ind w:left="814" w:hanging="360"/>
      </w:pPr>
      <w:rPr>
        <w:rFonts w:cs="Times New Roman" w:hint="default"/>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13" w15:restartNumberingAfterBreak="0">
    <w:nsid w:val="501624B4"/>
    <w:multiLevelType w:val="multilevel"/>
    <w:tmpl w:val="7F741D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1D1F41"/>
    <w:multiLevelType w:val="hybridMultilevel"/>
    <w:tmpl w:val="FFFFFFFF"/>
    <w:lvl w:ilvl="0" w:tplc="1D26BEEA">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15:restartNumberingAfterBreak="0">
    <w:nsid w:val="5DFA1165"/>
    <w:multiLevelType w:val="hybridMultilevel"/>
    <w:tmpl w:val="FFFFFFFF"/>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32832B0"/>
    <w:multiLevelType w:val="hybridMultilevel"/>
    <w:tmpl w:val="FFFFFFFF"/>
    <w:lvl w:ilvl="0" w:tplc="0F14D688">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7" w15:restartNumberingAfterBreak="0">
    <w:nsid w:val="65762B1D"/>
    <w:multiLevelType w:val="hybridMultilevel"/>
    <w:tmpl w:val="40660230"/>
    <w:lvl w:ilvl="0" w:tplc="E300190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70F749B"/>
    <w:multiLevelType w:val="hybridMultilevel"/>
    <w:tmpl w:val="FFFFFFFF"/>
    <w:lvl w:ilvl="0" w:tplc="6A1E7F3E">
      <w:start w:val="1"/>
      <w:numFmt w:val="decimal"/>
      <w:lvlText w:val="(%1)"/>
      <w:lvlJc w:val="left"/>
      <w:pPr>
        <w:ind w:left="927" w:hanging="360"/>
      </w:pPr>
      <w:rPr>
        <w:rFonts w:cs="Times New Roman" w:hint="default"/>
      </w:rPr>
    </w:lvl>
    <w:lvl w:ilvl="1" w:tplc="04160019" w:tentative="1">
      <w:start w:val="1"/>
      <w:numFmt w:val="lowerLetter"/>
      <w:lvlText w:val="%2."/>
      <w:lvlJc w:val="left"/>
      <w:pPr>
        <w:ind w:left="1647" w:hanging="360"/>
      </w:pPr>
      <w:rPr>
        <w:rFonts w:cs="Times New Roman"/>
      </w:rPr>
    </w:lvl>
    <w:lvl w:ilvl="2" w:tplc="0416001B" w:tentative="1">
      <w:start w:val="1"/>
      <w:numFmt w:val="lowerRoman"/>
      <w:lvlText w:val="%3."/>
      <w:lvlJc w:val="right"/>
      <w:pPr>
        <w:ind w:left="2367" w:hanging="180"/>
      </w:pPr>
      <w:rPr>
        <w:rFonts w:cs="Times New Roman"/>
      </w:rPr>
    </w:lvl>
    <w:lvl w:ilvl="3" w:tplc="0416000F" w:tentative="1">
      <w:start w:val="1"/>
      <w:numFmt w:val="decimal"/>
      <w:lvlText w:val="%4."/>
      <w:lvlJc w:val="left"/>
      <w:pPr>
        <w:ind w:left="3087" w:hanging="360"/>
      </w:pPr>
      <w:rPr>
        <w:rFonts w:cs="Times New Roman"/>
      </w:rPr>
    </w:lvl>
    <w:lvl w:ilvl="4" w:tplc="04160019" w:tentative="1">
      <w:start w:val="1"/>
      <w:numFmt w:val="lowerLetter"/>
      <w:lvlText w:val="%5."/>
      <w:lvlJc w:val="left"/>
      <w:pPr>
        <w:ind w:left="3807" w:hanging="360"/>
      </w:pPr>
      <w:rPr>
        <w:rFonts w:cs="Times New Roman"/>
      </w:rPr>
    </w:lvl>
    <w:lvl w:ilvl="5" w:tplc="0416001B" w:tentative="1">
      <w:start w:val="1"/>
      <w:numFmt w:val="lowerRoman"/>
      <w:lvlText w:val="%6."/>
      <w:lvlJc w:val="right"/>
      <w:pPr>
        <w:ind w:left="4527" w:hanging="180"/>
      </w:pPr>
      <w:rPr>
        <w:rFonts w:cs="Times New Roman"/>
      </w:rPr>
    </w:lvl>
    <w:lvl w:ilvl="6" w:tplc="0416000F" w:tentative="1">
      <w:start w:val="1"/>
      <w:numFmt w:val="decimal"/>
      <w:lvlText w:val="%7."/>
      <w:lvlJc w:val="left"/>
      <w:pPr>
        <w:ind w:left="5247" w:hanging="360"/>
      </w:pPr>
      <w:rPr>
        <w:rFonts w:cs="Times New Roman"/>
      </w:rPr>
    </w:lvl>
    <w:lvl w:ilvl="7" w:tplc="04160019" w:tentative="1">
      <w:start w:val="1"/>
      <w:numFmt w:val="lowerLetter"/>
      <w:lvlText w:val="%8."/>
      <w:lvlJc w:val="left"/>
      <w:pPr>
        <w:ind w:left="5967" w:hanging="360"/>
      </w:pPr>
      <w:rPr>
        <w:rFonts w:cs="Times New Roman"/>
      </w:rPr>
    </w:lvl>
    <w:lvl w:ilvl="8" w:tplc="0416001B" w:tentative="1">
      <w:start w:val="1"/>
      <w:numFmt w:val="lowerRoman"/>
      <w:lvlText w:val="%9."/>
      <w:lvlJc w:val="right"/>
      <w:pPr>
        <w:ind w:left="6687" w:hanging="180"/>
      </w:pPr>
      <w:rPr>
        <w:rFonts w:cs="Times New Roman"/>
      </w:rPr>
    </w:lvl>
  </w:abstractNum>
  <w:abstractNum w:abstractNumId="19" w15:restartNumberingAfterBreak="0">
    <w:nsid w:val="67697F9F"/>
    <w:multiLevelType w:val="hybridMultilevel"/>
    <w:tmpl w:val="FFFFFFFF"/>
    <w:lvl w:ilvl="0" w:tplc="B9441ADC">
      <w:numFmt w:val="bullet"/>
      <w:lvlText w:val=""/>
      <w:lvlJc w:val="left"/>
      <w:pPr>
        <w:ind w:left="927" w:hanging="360"/>
      </w:pPr>
      <w:rPr>
        <w:rFonts w:ascii="Symbol" w:eastAsia="Times New Roman" w:hAnsi="Symbol" w:hint="default"/>
      </w:rPr>
    </w:lvl>
    <w:lvl w:ilvl="1" w:tplc="04160003" w:tentative="1">
      <w:start w:val="1"/>
      <w:numFmt w:val="bullet"/>
      <w:lvlText w:val="o"/>
      <w:lvlJc w:val="left"/>
      <w:pPr>
        <w:ind w:left="1647" w:hanging="360"/>
      </w:pPr>
      <w:rPr>
        <w:rFonts w:ascii="Courier New" w:hAnsi="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20" w15:restartNumberingAfterBreak="0">
    <w:nsid w:val="6D0D65FE"/>
    <w:multiLevelType w:val="hybridMultilevel"/>
    <w:tmpl w:val="FFFFFFFF"/>
    <w:lvl w:ilvl="0" w:tplc="11009F30">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1" w15:restartNumberingAfterBreak="0">
    <w:nsid w:val="6FBC53E8"/>
    <w:multiLevelType w:val="hybridMultilevel"/>
    <w:tmpl w:val="FFFFFFFF"/>
    <w:lvl w:ilvl="0" w:tplc="84BA6D3A">
      <w:start w:val="1"/>
      <w:numFmt w:val="decimal"/>
      <w:suff w:val="space"/>
      <w:lvlText w:val="(%1)"/>
      <w:lvlJc w:val="left"/>
      <w:rPr>
        <w:rFonts w:cs="Times New Roman" w:hint="default"/>
      </w:rPr>
    </w:lvl>
    <w:lvl w:ilvl="1" w:tplc="04160019" w:tentative="1">
      <w:start w:val="1"/>
      <w:numFmt w:val="lowerLetter"/>
      <w:lvlText w:val="%2."/>
      <w:lvlJc w:val="left"/>
      <w:pPr>
        <w:ind w:left="1788" w:hanging="360"/>
      </w:pPr>
      <w:rPr>
        <w:rFonts w:cs="Times New Roman"/>
      </w:rPr>
    </w:lvl>
    <w:lvl w:ilvl="2" w:tplc="0416001B" w:tentative="1">
      <w:start w:val="1"/>
      <w:numFmt w:val="lowerRoman"/>
      <w:lvlText w:val="%3."/>
      <w:lvlJc w:val="right"/>
      <w:pPr>
        <w:ind w:left="2508" w:hanging="180"/>
      </w:pPr>
      <w:rPr>
        <w:rFonts w:cs="Times New Roman"/>
      </w:rPr>
    </w:lvl>
    <w:lvl w:ilvl="3" w:tplc="0416000F" w:tentative="1">
      <w:start w:val="1"/>
      <w:numFmt w:val="decimal"/>
      <w:lvlText w:val="%4."/>
      <w:lvlJc w:val="left"/>
      <w:pPr>
        <w:ind w:left="3228" w:hanging="360"/>
      </w:pPr>
      <w:rPr>
        <w:rFonts w:cs="Times New Roman"/>
      </w:rPr>
    </w:lvl>
    <w:lvl w:ilvl="4" w:tplc="04160019" w:tentative="1">
      <w:start w:val="1"/>
      <w:numFmt w:val="lowerLetter"/>
      <w:lvlText w:val="%5."/>
      <w:lvlJc w:val="left"/>
      <w:pPr>
        <w:ind w:left="3948" w:hanging="360"/>
      </w:pPr>
      <w:rPr>
        <w:rFonts w:cs="Times New Roman"/>
      </w:rPr>
    </w:lvl>
    <w:lvl w:ilvl="5" w:tplc="0416001B" w:tentative="1">
      <w:start w:val="1"/>
      <w:numFmt w:val="lowerRoman"/>
      <w:lvlText w:val="%6."/>
      <w:lvlJc w:val="right"/>
      <w:pPr>
        <w:ind w:left="4668" w:hanging="180"/>
      </w:pPr>
      <w:rPr>
        <w:rFonts w:cs="Times New Roman"/>
      </w:rPr>
    </w:lvl>
    <w:lvl w:ilvl="6" w:tplc="0416000F" w:tentative="1">
      <w:start w:val="1"/>
      <w:numFmt w:val="decimal"/>
      <w:lvlText w:val="%7."/>
      <w:lvlJc w:val="left"/>
      <w:pPr>
        <w:ind w:left="5388" w:hanging="360"/>
      </w:pPr>
      <w:rPr>
        <w:rFonts w:cs="Times New Roman"/>
      </w:rPr>
    </w:lvl>
    <w:lvl w:ilvl="7" w:tplc="04160019" w:tentative="1">
      <w:start w:val="1"/>
      <w:numFmt w:val="lowerLetter"/>
      <w:lvlText w:val="%8."/>
      <w:lvlJc w:val="left"/>
      <w:pPr>
        <w:ind w:left="6108" w:hanging="360"/>
      </w:pPr>
      <w:rPr>
        <w:rFonts w:cs="Times New Roman"/>
      </w:rPr>
    </w:lvl>
    <w:lvl w:ilvl="8" w:tplc="0416001B" w:tentative="1">
      <w:start w:val="1"/>
      <w:numFmt w:val="lowerRoman"/>
      <w:lvlText w:val="%9."/>
      <w:lvlJc w:val="right"/>
      <w:pPr>
        <w:ind w:left="6828" w:hanging="180"/>
      </w:pPr>
      <w:rPr>
        <w:rFonts w:cs="Times New Roman"/>
      </w:rPr>
    </w:lvl>
  </w:abstractNum>
  <w:abstractNum w:abstractNumId="22" w15:restartNumberingAfterBreak="0">
    <w:nsid w:val="7378005C"/>
    <w:multiLevelType w:val="hybridMultilevel"/>
    <w:tmpl w:val="FFFFFFFF"/>
    <w:lvl w:ilvl="0" w:tplc="59C07188">
      <w:start w:val="1"/>
      <w:numFmt w:val="decimal"/>
      <w:lvlText w:val="(%1)"/>
      <w:lvlJc w:val="left"/>
      <w:pPr>
        <w:ind w:left="814" w:hanging="360"/>
      </w:pPr>
      <w:rPr>
        <w:rFonts w:ascii="Times New Roman" w:eastAsia="Times New Roman" w:hAnsi="Times New Roman" w:cs="Times New Roman"/>
      </w:rPr>
    </w:lvl>
    <w:lvl w:ilvl="1" w:tplc="04160019" w:tentative="1">
      <w:start w:val="1"/>
      <w:numFmt w:val="lowerLetter"/>
      <w:lvlText w:val="%2."/>
      <w:lvlJc w:val="left"/>
      <w:pPr>
        <w:ind w:left="1534" w:hanging="360"/>
      </w:pPr>
      <w:rPr>
        <w:rFonts w:cs="Times New Roman"/>
      </w:rPr>
    </w:lvl>
    <w:lvl w:ilvl="2" w:tplc="0416001B" w:tentative="1">
      <w:start w:val="1"/>
      <w:numFmt w:val="lowerRoman"/>
      <w:lvlText w:val="%3."/>
      <w:lvlJc w:val="right"/>
      <w:pPr>
        <w:ind w:left="2254" w:hanging="180"/>
      </w:pPr>
      <w:rPr>
        <w:rFonts w:cs="Times New Roman"/>
      </w:rPr>
    </w:lvl>
    <w:lvl w:ilvl="3" w:tplc="0416000F" w:tentative="1">
      <w:start w:val="1"/>
      <w:numFmt w:val="decimal"/>
      <w:lvlText w:val="%4."/>
      <w:lvlJc w:val="left"/>
      <w:pPr>
        <w:ind w:left="2974" w:hanging="360"/>
      </w:pPr>
      <w:rPr>
        <w:rFonts w:cs="Times New Roman"/>
      </w:rPr>
    </w:lvl>
    <w:lvl w:ilvl="4" w:tplc="04160019" w:tentative="1">
      <w:start w:val="1"/>
      <w:numFmt w:val="lowerLetter"/>
      <w:lvlText w:val="%5."/>
      <w:lvlJc w:val="left"/>
      <w:pPr>
        <w:ind w:left="3694" w:hanging="360"/>
      </w:pPr>
      <w:rPr>
        <w:rFonts w:cs="Times New Roman"/>
      </w:rPr>
    </w:lvl>
    <w:lvl w:ilvl="5" w:tplc="0416001B" w:tentative="1">
      <w:start w:val="1"/>
      <w:numFmt w:val="lowerRoman"/>
      <w:lvlText w:val="%6."/>
      <w:lvlJc w:val="right"/>
      <w:pPr>
        <w:ind w:left="4414" w:hanging="180"/>
      </w:pPr>
      <w:rPr>
        <w:rFonts w:cs="Times New Roman"/>
      </w:rPr>
    </w:lvl>
    <w:lvl w:ilvl="6" w:tplc="0416000F" w:tentative="1">
      <w:start w:val="1"/>
      <w:numFmt w:val="decimal"/>
      <w:lvlText w:val="%7."/>
      <w:lvlJc w:val="left"/>
      <w:pPr>
        <w:ind w:left="5134" w:hanging="360"/>
      </w:pPr>
      <w:rPr>
        <w:rFonts w:cs="Times New Roman"/>
      </w:rPr>
    </w:lvl>
    <w:lvl w:ilvl="7" w:tplc="04160019" w:tentative="1">
      <w:start w:val="1"/>
      <w:numFmt w:val="lowerLetter"/>
      <w:lvlText w:val="%8."/>
      <w:lvlJc w:val="left"/>
      <w:pPr>
        <w:ind w:left="5854" w:hanging="360"/>
      </w:pPr>
      <w:rPr>
        <w:rFonts w:cs="Times New Roman"/>
      </w:rPr>
    </w:lvl>
    <w:lvl w:ilvl="8" w:tplc="0416001B" w:tentative="1">
      <w:start w:val="1"/>
      <w:numFmt w:val="lowerRoman"/>
      <w:lvlText w:val="%9."/>
      <w:lvlJc w:val="right"/>
      <w:pPr>
        <w:ind w:left="6574" w:hanging="180"/>
      </w:pPr>
      <w:rPr>
        <w:rFonts w:cs="Times New Roman"/>
      </w:rPr>
    </w:lvl>
  </w:abstractNum>
  <w:abstractNum w:abstractNumId="23" w15:restartNumberingAfterBreak="0">
    <w:nsid w:val="743F70A1"/>
    <w:multiLevelType w:val="hybridMultilevel"/>
    <w:tmpl w:val="FFFFFFFF"/>
    <w:lvl w:ilvl="0" w:tplc="04160005">
      <w:start w:val="1"/>
      <w:numFmt w:val="bullet"/>
      <w:lvlText w:val=""/>
      <w:lvlJc w:val="left"/>
      <w:pPr>
        <w:ind w:left="4974" w:hanging="360"/>
      </w:pPr>
      <w:rPr>
        <w:rFonts w:ascii="Wingdings" w:hAnsi="Wingdings" w:hint="default"/>
      </w:rPr>
    </w:lvl>
    <w:lvl w:ilvl="1" w:tplc="04160003" w:tentative="1">
      <w:start w:val="1"/>
      <w:numFmt w:val="bullet"/>
      <w:lvlText w:val="o"/>
      <w:lvlJc w:val="left"/>
      <w:pPr>
        <w:ind w:left="5694" w:hanging="360"/>
      </w:pPr>
      <w:rPr>
        <w:rFonts w:ascii="Courier New" w:hAnsi="Courier New" w:hint="default"/>
      </w:rPr>
    </w:lvl>
    <w:lvl w:ilvl="2" w:tplc="04160005" w:tentative="1">
      <w:start w:val="1"/>
      <w:numFmt w:val="bullet"/>
      <w:lvlText w:val=""/>
      <w:lvlJc w:val="left"/>
      <w:pPr>
        <w:ind w:left="6414" w:hanging="360"/>
      </w:pPr>
      <w:rPr>
        <w:rFonts w:ascii="Wingdings" w:hAnsi="Wingdings" w:hint="default"/>
      </w:rPr>
    </w:lvl>
    <w:lvl w:ilvl="3" w:tplc="04160001" w:tentative="1">
      <w:start w:val="1"/>
      <w:numFmt w:val="bullet"/>
      <w:lvlText w:val=""/>
      <w:lvlJc w:val="left"/>
      <w:pPr>
        <w:ind w:left="7134" w:hanging="360"/>
      </w:pPr>
      <w:rPr>
        <w:rFonts w:ascii="Symbol" w:hAnsi="Symbol" w:hint="default"/>
      </w:rPr>
    </w:lvl>
    <w:lvl w:ilvl="4" w:tplc="04160003" w:tentative="1">
      <w:start w:val="1"/>
      <w:numFmt w:val="bullet"/>
      <w:lvlText w:val="o"/>
      <w:lvlJc w:val="left"/>
      <w:pPr>
        <w:ind w:left="7854" w:hanging="360"/>
      </w:pPr>
      <w:rPr>
        <w:rFonts w:ascii="Courier New" w:hAnsi="Courier New" w:hint="default"/>
      </w:rPr>
    </w:lvl>
    <w:lvl w:ilvl="5" w:tplc="04160005" w:tentative="1">
      <w:start w:val="1"/>
      <w:numFmt w:val="bullet"/>
      <w:lvlText w:val=""/>
      <w:lvlJc w:val="left"/>
      <w:pPr>
        <w:ind w:left="8574" w:hanging="360"/>
      </w:pPr>
      <w:rPr>
        <w:rFonts w:ascii="Wingdings" w:hAnsi="Wingdings" w:hint="default"/>
      </w:rPr>
    </w:lvl>
    <w:lvl w:ilvl="6" w:tplc="04160001" w:tentative="1">
      <w:start w:val="1"/>
      <w:numFmt w:val="bullet"/>
      <w:lvlText w:val=""/>
      <w:lvlJc w:val="left"/>
      <w:pPr>
        <w:ind w:left="9294" w:hanging="360"/>
      </w:pPr>
      <w:rPr>
        <w:rFonts w:ascii="Symbol" w:hAnsi="Symbol" w:hint="default"/>
      </w:rPr>
    </w:lvl>
    <w:lvl w:ilvl="7" w:tplc="04160003" w:tentative="1">
      <w:start w:val="1"/>
      <w:numFmt w:val="bullet"/>
      <w:lvlText w:val="o"/>
      <w:lvlJc w:val="left"/>
      <w:pPr>
        <w:ind w:left="10014" w:hanging="360"/>
      </w:pPr>
      <w:rPr>
        <w:rFonts w:ascii="Courier New" w:hAnsi="Courier New" w:hint="default"/>
      </w:rPr>
    </w:lvl>
    <w:lvl w:ilvl="8" w:tplc="04160005" w:tentative="1">
      <w:start w:val="1"/>
      <w:numFmt w:val="bullet"/>
      <w:lvlText w:val=""/>
      <w:lvlJc w:val="left"/>
      <w:pPr>
        <w:ind w:left="10734" w:hanging="360"/>
      </w:pPr>
      <w:rPr>
        <w:rFonts w:ascii="Wingdings" w:hAnsi="Wingdings" w:hint="default"/>
      </w:rPr>
    </w:lvl>
  </w:abstractNum>
  <w:abstractNum w:abstractNumId="24" w15:restartNumberingAfterBreak="0">
    <w:nsid w:val="77AA0934"/>
    <w:multiLevelType w:val="hybridMultilevel"/>
    <w:tmpl w:val="FFFFFFFF"/>
    <w:lvl w:ilvl="0" w:tplc="0BF04AA4">
      <w:start w:val="1"/>
      <w:numFmt w:val="decimal"/>
      <w:suff w:val="space"/>
      <w:lvlText w:val="(%1)"/>
      <w:lvlJc w:val="left"/>
      <w:pPr>
        <w:ind w:firstLine="567"/>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5" w15:restartNumberingAfterBreak="0">
    <w:nsid w:val="7B9609A7"/>
    <w:multiLevelType w:val="hybridMultilevel"/>
    <w:tmpl w:val="FFFFFFFF"/>
    <w:lvl w:ilvl="0" w:tplc="298E986A">
      <w:start w:val="1"/>
      <w:numFmt w:val="decimal"/>
      <w:suff w:val="space"/>
      <w:lvlText w:val="(%1)"/>
      <w:lvlJc w:val="left"/>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15:restartNumberingAfterBreak="0">
    <w:nsid w:val="7FF77B87"/>
    <w:multiLevelType w:val="hybridMultilevel"/>
    <w:tmpl w:val="FFFFFFFF"/>
    <w:lvl w:ilvl="0" w:tplc="1A8A6EDA">
      <w:start w:val="17"/>
      <w:numFmt w:val="bullet"/>
      <w:lvlText w:val="-"/>
      <w:lvlJc w:val="left"/>
      <w:pPr>
        <w:tabs>
          <w:tab w:val="num" w:pos="1267"/>
        </w:tabs>
        <w:ind w:left="1267" w:hanging="360"/>
      </w:pPr>
      <w:rPr>
        <w:rFonts w:ascii="Times New Roman" w:eastAsia="Times New Roman" w:hAnsi="Times New Roman" w:hint="default"/>
      </w:rPr>
    </w:lvl>
    <w:lvl w:ilvl="1" w:tplc="04160003">
      <w:start w:val="1"/>
      <w:numFmt w:val="bullet"/>
      <w:lvlText w:val="o"/>
      <w:lvlJc w:val="left"/>
      <w:pPr>
        <w:tabs>
          <w:tab w:val="num" w:pos="1987"/>
        </w:tabs>
        <w:ind w:left="1987" w:hanging="360"/>
      </w:pPr>
      <w:rPr>
        <w:rFonts w:ascii="Courier New" w:hAnsi="Courier New" w:hint="default"/>
      </w:rPr>
    </w:lvl>
    <w:lvl w:ilvl="2" w:tplc="04160005">
      <w:start w:val="1"/>
      <w:numFmt w:val="bullet"/>
      <w:lvlText w:val=""/>
      <w:lvlJc w:val="left"/>
      <w:pPr>
        <w:tabs>
          <w:tab w:val="num" w:pos="2707"/>
        </w:tabs>
        <w:ind w:left="2707" w:hanging="360"/>
      </w:pPr>
      <w:rPr>
        <w:rFonts w:ascii="Wingdings" w:hAnsi="Wingdings" w:hint="default"/>
      </w:rPr>
    </w:lvl>
    <w:lvl w:ilvl="3" w:tplc="04160001">
      <w:start w:val="1"/>
      <w:numFmt w:val="bullet"/>
      <w:lvlText w:val=""/>
      <w:lvlJc w:val="left"/>
      <w:pPr>
        <w:tabs>
          <w:tab w:val="num" w:pos="3427"/>
        </w:tabs>
        <w:ind w:left="3427" w:hanging="360"/>
      </w:pPr>
      <w:rPr>
        <w:rFonts w:ascii="Symbol" w:hAnsi="Symbol" w:hint="default"/>
      </w:rPr>
    </w:lvl>
    <w:lvl w:ilvl="4" w:tplc="04160003">
      <w:start w:val="1"/>
      <w:numFmt w:val="bullet"/>
      <w:lvlText w:val="o"/>
      <w:lvlJc w:val="left"/>
      <w:pPr>
        <w:tabs>
          <w:tab w:val="num" w:pos="4147"/>
        </w:tabs>
        <w:ind w:left="4147" w:hanging="360"/>
      </w:pPr>
      <w:rPr>
        <w:rFonts w:ascii="Courier New" w:hAnsi="Courier New" w:hint="default"/>
      </w:rPr>
    </w:lvl>
    <w:lvl w:ilvl="5" w:tplc="04160005">
      <w:start w:val="1"/>
      <w:numFmt w:val="bullet"/>
      <w:lvlText w:val=""/>
      <w:lvlJc w:val="left"/>
      <w:pPr>
        <w:tabs>
          <w:tab w:val="num" w:pos="4867"/>
        </w:tabs>
        <w:ind w:left="4867" w:hanging="360"/>
      </w:pPr>
      <w:rPr>
        <w:rFonts w:ascii="Wingdings" w:hAnsi="Wingdings" w:hint="default"/>
      </w:rPr>
    </w:lvl>
    <w:lvl w:ilvl="6" w:tplc="04160001">
      <w:start w:val="1"/>
      <w:numFmt w:val="bullet"/>
      <w:lvlText w:val=""/>
      <w:lvlJc w:val="left"/>
      <w:pPr>
        <w:tabs>
          <w:tab w:val="num" w:pos="5587"/>
        </w:tabs>
        <w:ind w:left="5587" w:hanging="360"/>
      </w:pPr>
      <w:rPr>
        <w:rFonts w:ascii="Symbol" w:hAnsi="Symbol" w:hint="default"/>
      </w:rPr>
    </w:lvl>
    <w:lvl w:ilvl="7" w:tplc="04160003">
      <w:start w:val="1"/>
      <w:numFmt w:val="bullet"/>
      <w:lvlText w:val="o"/>
      <w:lvlJc w:val="left"/>
      <w:pPr>
        <w:tabs>
          <w:tab w:val="num" w:pos="6307"/>
        </w:tabs>
        <w:ind w:left="6307" w:hanging="360"/>
      </w:pPr>
      <w:rPr>
        <w:rFonts w:ascii="Courier New" w:hAnsi="Courier New" w:hint="default"/>
      </w:rPr>
    </w:lvl>
    <w:lvl w:ilvl="8" w:tplc="04160005">
      <w:start w:val="1"/>
      <w:numFmt w:val="bullet"/>
      <w:lvlText w:val=""/>
      <w:lvlJc w:val="left"/>
      <w:pPr>
        <w:tabs>
          <w:tab w:val="num" w:pos="7027"/>
        </w:tabs>
        <w:ind w:left="7027" w:hanging="360"/>
      </w:pPr>
      <w:rPr>
        <w:rFonts w:ascii="Wingdings" w:hAnsi="Wingdings" w:hint="default"/>
      </w:rPr>
    </w:lvl>
  </w:abstractNum>
  <w:num w:numId="1" w16cid:durableId="1080784777">
    <w:abstractNumId w:val="26"/>
  </w:num>
  <w:num w:numId="2" w16cid:durableId="522520912">
    <w:abstractNumId w:val="6"/>
  </w:num>
  <w:num w:numId="3" w16cid:durableId="869417338">
    <w:abstractNumId w:val="19"/>
  </w:num>
  <w:num w:numId="4" w16cid:durableId="524485244">
    <w:abstractNumId w:val="5"/>
  </w:num>
  <w:num w:numId="5" w16cid:durableId="159123260">
    <w:abstractNumId w:val="22"/>
  </w:num>
  <w:num w:numId="6" w16cid:durableId="128088984">
    <w:abstractNumId w:val="18"/>
  </w:num>
  <w:num w:numId="7" w16cid:durableId="577713422">
    <w:abstractNumId w:val="11"/>
  </w:num>
  <w:num w:numId="8" w16cid:durableId="943466483">
    <w:abstractNumId w:val="12"/>
  </w:num>
  <w:num w:numId="9" w16cid:durableId="450705573">
    <w:abstractNumId w:val="9"/>
  </w:num>
  <w:num w:numId="10" w16cid:durableId="139540115">
    <w:abstractNumId w:val="10"/>
  </w:num>
  <w:num w:numId="11" w16cid:durableId="1452212408">
    <w:abstractNumId w:val="15"/>
  </w:num>
  <w:num w:numId="12" w16cid:durableId="988939329">
    <w:abstractNumId w:val="24"/>
  </w:num>
  <w:num w:numId="13" w16cid:durableId="1310013440">
    <w:abstractNumId w:val="1"/>
  </w:num>
  <w:num w:numId="14" w16cid:durableId="1780175459">
    <w:abstractNumId w:val="8"/>
  </w:num>
  <w:num w:numId="15" w16cid:durableId="1873300328">
    <w:abstractNumId w:val="23"/>
  </w:num>
  <w:num w:numId="16" w16cid:durableId="855731956">
    <w:abstractNumId w:val="2"/>
  </w:num>
  <w:num w:numId="17" w16cid:durableId="2120836177">
    <w:abstractNumId w:val="14"/>
  </w:num>
  <w:num w:numId="18" w16cid:durableId="1701396661">
    <w:abstractNumId w:val="3"/>
  </w:num>
  <w:num w:numId="19" w16cid:durableId="789782165">
    <w:abstractNumId w:val="20"/>
  </w:num>
  <w:num w:numId="20" w16cid:durableId="120811113">
    <w:abstractNumId w:val="4"/>
  </w:num>
  <w:num w:numId="21" w16cid:durableId="2078631597">
    <w:abstractNumId w:val="25"/>
  </w:num>
  <w:num w:numId="22" w16cid:durableId="1510096006">
    <w:abstractNumId w:val="21"/>
  </w:num>
  <w:num w:numId="23" w16cid:durableId="1211111627">
    <w:abstractNumId w:val="0"/>
  </w:num>
  <w:num w:numId="24" w16cid:durableId="755130603">
    <w:abstractNumId w:val="16"/>
  </w:num>
  <w:num w:numId="25" w16cid:durableId="192034580">
    <w:abstractNumId w:val="13"/>
  </w:num>
  <w:num w:numId="26" w16cid:durableId="1661692179">
    <w:abstractNumId w:val="7"/>
  </w:num>
  <w:num w:numId="27" w16cid:durableId="8850702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32E"/>
    <w:rsid w:val="0000051D"/>
    <w:rsid w:val="000005A0"/>
    <w:rsid w:val="0000114E"/>
    <w:rsid w:val="00001510"/>
    <w:rsid w:val="00002446"/>
    <w:rsid w:val="000025E1"/>
    <w:rsid w:val="0000274E"/>
    <w:rsid w:val="0000386F"/>
    <w:rsid w:val="00003910"/>
    <w:rsid w:val="00004020"/>
    <w:rsid w:val="000049F4"/>
    <w:rsid w:val="0000551E"/>
    <w:rsid w:val="00005A26"/>
    <w:rsid w:val="0000616F"/>
    <w:rsid w:val="00006195"/>
    <w:rsid w:val="000061FB"/>
    <w:rsid w:val="00006CB1"/>
    <w:rsid w:val="0000778F"/>
    <w:rsid w:val="00007FFD"/>
    <w:rsid w:val="00010252"/>
    <w:rsid w:val="000108C8"/>
    <w:rsid w:val="00010919"/>
    <w:rsid w:val="000109D2"/>
    <w:rsid w:val="00010B4A"/>
    <w:rsid w:val="000118AA"/>
    <w:rsid w:val="00012D4D"/>
    <w:rsid w:val="000137F4"/>
    <w:rsid w:val="000139AD"/>
    <w:rsid w:val="00014504"/>
    <w:rsid w:val="00015421"/>
    <w:rsid w:val="000157E5"/>
    <w:rsid w:val="00015C46"/>
    <w:rsid w:val="000161D9"/>
    <w:rsid w:val="00016804"/>
    <w:rsid w:val="00016864"/>
    <w:rsid w:val="00017320"/>
    <w:rsid w:val="00017DD6"/>
    <w:rsid w:val="000202EE"/>
    <w:rsid w:val="0002049E"/>
    <w:rsid w:val="00020DFA"/>
    <w:rsid w:val="00021003"/>
    <w:rsid w:val="000213E7"/>
    <w:rsid w:val="000213F4"/>
    <w:rsid w:val="00021739"/>
    <w:rsid w:val="00021BF5"/>
    <w:rsid w:val="00022317"/>
    <w:rsid w:val="00022740"/>
    <w:rsid w:val="000233B6"/>
    <w:rsid w:val="0002461D"/>
    <w:rsid w:val="00024AE5"/>
    <w:rsid w:val="000253E5"/>
    <w:rsid w:val="0002542E"/>
    <w:rsid w:val="00025571"/>
    <w:rsid w:val="00025835"/>
    <w:rsid w:val="00026063"/>
    <w:rsid w:val="00026D4E"/>
    <w:rsid w:val="00027128"/>
    <w:rsid w:val="000277F2"/>
    <w:rsid w:val="00031C3D"/>
    <w:rsid w:val="00034221"/>
    <w:rsid w:val="00034350"/>
    <w:rsid w:val="00034755"/>
    <w:rsid w:val="0003508B"/>
    <w:rsid w:val="00035FDD"/>
    <w:rsid w:val="0003661A"/>
    <w:rsid w:val="00036665"/>
    <w:rsid w:val="0003682A"/>
    <w:rsid w:val="000368BE"/>
    <w:rsid w:val="00036D34"/>
    <w:rsid w:val="00037EC9"/>
    <w:rsid w:val="00040789"/>
    <w:rsid w:val="00040812"/>
    <w:rsid w:val="00041B6B"/>
    <w:rsid w:val="00041F3C"/>
    <w:rsid w:val="00041FEA"/>
    <w:rsid w:val="00042531"/>
    <w:rsid w:val="00042D21"/>
    <w:rsid w:val="00042D76"/>
    <w:rsid w:val="000436B4"/>
    <w:rsid w:val="0004483D"/>
    <w:rsid w:val="00045759"/>
    <w:rsid w:val="0004598C"/>
    <w:rsid w:val="00045CAA"/>
    <w:rsid w:val="00045FD4"/>
    <w:rsid w:val="0004601A"/>
    <w:rsid w:val="0004646B"/>
    <w:rsid w:val="000464A5"/>
    <w:rsid w:val="00046740"/>
    <w:rsid w:val="00046C7B"/>
    <w:rsid w:val="00046D4D"/>
    <w:rsid w:val="00046E4E"/>
    <w:rsid w:val="00047A15"/>
    <w:rsid w:val="000505B7"/>
    <w:rsid w:val="00050980"/>
    <w:rsid w:val="000509E9"/>
    <w:rsid w:val="00050E54"/>
    <w:rsid w:val="0005127D"/>
    <w:rsid w:val="000512EF"/>
    <w:rsid w:val="000517A8"/>
    <w:rsid w:val="00051B86"/>
    <w:rsid w:val="00052138"/>
    <w:rsid w:val="000524FF"/>
    <w:rsid w:val="00053B9A"/>
    <w:rsid w:val="00053CD0"/>
    <w:rsid w:val="00054166"/>
    <w:rsid w:val="0005430A"/>
    <w:rsid w:val="0005531F"/>
    <w:rsid w:val="000562F7"/>
    <w:rsid w:val="0005675F"/>
    <w:rsid w:val="0005676B"/>
    <w:rsid w:val="000568BA"/>
    <w:rsid w:val="00057297"/>
    <w:rsid w:val="00057F62"/>
    <w:rsid w:val="00060295"/>
    <w:rsid w:val="00060B92"/>
    <w:rsid w:val="00061B73"/>
    <w:rsid w:val="00062548"/>
    <w:rsid w:val="00062FE6"/>
    <w:rsid w:val="000639F3"/>
    <w:rsid w:val="00063D62"/>
    <w:rsid w:val="00065B9B"/>
    <w:rsid w:val="00066DA2"/>
    <w:rsid w:val="00067494"/>
    <w:rsid w:val="000710AC"/>
    <w:rsid w:val="00071616"/>
    <w:rsid w:val="000716A3"/>
    <w:rsid w:val="00071CAB"/>
    <w:rsid w:val="00071CD5"/>
    <w:rsid w:val="00072103"/>
    <w:rsid w:val="000722CA"/>
    <w:rsid w:val="000728D0"/>
    <w:rsid w:val="00072A4E"/>
    <w:rsid w:val="00072F3D"/>
    <w:rsid w:val="00073DDA"/>
    <w:rsid w:val="0007409B"/>
    <w:rsid w:val="000741A7"/>
    <w:rsid w:val="00075042"/>
    <w:rsid w:val="00076152"/>
    <w:rsid w:val="000765D8"/>
    <w:rsid w:val="00076A11"/>
    <w:rsid w:val="000774A4"/>
    <w:rsid w:val="00077C10"/>
    <w:rsid w:val="0008090B"/>
    <w:rsid w:val="00080996"/>
    <w:rsid w:val="00080BF3"/>
    <w:rsid w:val="00080FA4"/>
    <w:rsid w:val="00081642"/>
    <w:rsid w:val="00081A7B"/>
    <w:rsid w:val="00081F42"/>
    <w:rsid w:val="000821DC"/>
    <w:rsid w:val="00082497"/>
    <w:rsid w:val="000829FB"/>
    <w:rsid w:val="00082D24"/>
    <w:rsid w:val="000831A3"/>
    <w:rsid w:val="0008350F"/>
    <w:rsid w:val="0008370E"/>
    <w:rsid w:val="00083878"/>
    <w:rsid w:val="00083912"/>
    <w:rsid w:val="00084640"/>
    <w:rsid w:val="000849B3"/>
    <w:rsid w:val="00084BBE"/>
    <w:rsid w:val="00085526"/>
    <w:rsid w:val="00085E7C"/>
    <w:rsid w:val="00085EA5"/>
    <w:rsid w:val="000860F0"/>
    <w:rsid w:val="0008692A"/>
    <w:rsid w:val="00086A9A"/>
    <w:rsid w:val="00086AF3"/>
    <w:rsid w:val="000876BA"/>
    <w:rsid w:val="00087EF4"/>
    <w:rsid w:val="000908EC"/>
    <w:rsid w:val="00090AE1"/>
    <w:rsid w:val="00092778"/>
    <w:rsid w:val="000927FB"/>
    <w:rsid w:val="0009385F"/>
    <w:rsid w:val="00094322"/>
    <w:rsid w:val="00095061"/>
    <w:rsid w:val="00095A94"/>
    <w:rsid w:val="00095C67"/>
    <w:rsid w:val="0009634C"/>
    <w:rsid w:val="000967A4"/>
    <w:rsid w:val="00096D44"/>
    <w:rsid w:val="000977EC"/>
    <w:rsid w:val="00097D75"/>
    <w:rsid w:val="000A02C3"/>
    <w:rsid w:val="000A0ABC"/>
    <w:rsid w:val="000A101F"/>
    <w:rsid w:val="000A12DF"/>
    <w:rsid w:val="000A1637"/>
    <w:rsid w:val="000A196B"/>
    <w:rsid w:val="000A2BAB"/>
    <w:rsid w:val="000A2FF8"/>
    <w:rsid w:val="000A3DBE"/>
    <w:rsid w:val="000A4336"/>
    <w:rsid w:val="000A5804"/>
    <w:rsid w:val="000A5849"/>
    <w:rsid w:val="000A660F"/>
    <w:rsid w:val="000A698A"/>
    <w:rsid w:val="000A7128"/>
    <w:rsid w:val="000A7346"/>
    <w:rsid w:val="000A740C"/>
    <w:rsid w:val="000A77BE"/>
    <w:rsid w:val="000A7D08"/>
    <w:rsid w:val="000B06B1"/>
    <w:rsid w:val="000B187E"/>
    <w:rsid w:val="000B2383"/>
    <w:rsid w:val="000B282A"/>
    <w:rsid w:val="000B342C"/>
    <w:rsid w:val="000B36D4"/>
    <w:rsid w:val="000B36F2"/>
    <w:rsid w:val="000B3FFA"/>
    <w:rsid w:val="000B45F9"/>
    <w:rsid w:val="000B58B5"/>
    <w:rsid w:val="000B5CD5"/>
    <w:rsid w:val="000B6675"/>
    <w:rsid w:val="000B6A08"/>
    <w:rsid w:val="000B6D60"/>
    <w:rsid w:val="000B713A"/>
    <w:rsid w:val="000B770C"/>
    <w:rsid w:val="000B7897"/>
    <w:rsid w:val="000B7C74"/>
    <w:rsid w:val="000C008D"/>
    <w:rsid w:val="000C058D"/>
    <w:rsid w:val="000C0EC0"/>
    <w:rsid w:val="000C0F66"/>
    <w:rsid w:val="000C153F"/>
    <w:rsid w:val="000C186D"/>
    <w:rsid w:val="000C3B4A"/>
    <w:rsid w:val="000C4253"/>
    <w:rsid w:val="000C483B"/>
    <w:rsid w:val="000C52ED"/>
    <w:rsid w:val="000C5499"/>
    <w:rsid w:val="000C5710"/>
    <w:rsid w:val="000C6829"/>
    <w:rsid w:val="000C6AA2"/>
    <w:rsid w:val="000C6D9D"/>
    <w:rsid w:val="000C74CE"/>
    <w:rsid w:val="000C7842"/>
    <w:rsid w:val="000C7D34"/>
    <w:rsid w:val="000D0284"/>
    <w:rsid w:val="000D1317"/>
    <w:rsid w:val="000D1633"/>
    <w:rsid w:val="000D2902"/>
    <w:rsid w:val="000D2BFC"/>
    <w:rsid w:val="000D2C49"/>
    <w:rsid w:val="000D37DD"/>
    <w:rsid w:val="000D3E76"/>
    <w:rsid w:val="000D3FA3"/>
    <w:rsid w:val="000D4DBB"/>
    <w:rsid w:val="000D50D4"/>
    <w:rsid w:val="000D5CCA"/>
    <w:rsid w:val="000D6952"/>
    <w:rsid w:val="000D74AF"/>
    <w:rsid w:val="000D76B2"/>
    <w:rsid w:val="000D7872"/>
    <w:rsid w:val="000E06A0"/>
    <w:rsid w:val="000E1121"/>
    <w:rsid w:val="000E1649"/>
    <w:rsid w:val="000E1995"/>
    <w:rsid w:val="000E1FBB"/>
    <w:rsid w:val="000E2EF2"/>
    <w:rsid w:val="000E3068"/>
    <w:rsid w:val="000E3294"/>
    <w:rsid w:val="000E396D"/>
    <w:rsid w:val="000E3D9E"/>
    <w:rsid w:val="000E3E8E"/>
    <w:rsid w:val="000E4083"/>
    <w:rsid w:val="000E4591"/>
    <w:rsid w:val="000E4A98"/>
    <w:rsid w:val="000E505E"/>
    <w:rsid w:val="000E5237"/>
    <w:rsid w:val="000E5585"/>
    <w:rsid w:val="000E5E29"/>
    <w:rsid w:val="000E62B3"/>
    <w:rsid w:val="000E682E"/>
    <w:rsid w:val="000E6B67"/>
    <w:rsid w:val="000E6B81"/>
    <w:rsid w:val="000E6C63"/>
    <w:rsid w:val="000E7BD0"/>
    <w:rsid w:val="000F0353"/>
    <w:rsid w:val="000F064E"/>
    <w:rsid w:val="000F0C36"/>
    <w:rsid w:val="000F0E11"/>
    <w:rsid w:val="000F0FE2"/>
    <w:rsid w:val="000F1321"/>
    <w:rsid w:val="000F2270"/>
    <w:rsid w:val="000F3458"/>
    <w:rsid w:val="000F362F"/>
    <w:rsid w:val="000F4539"/>
    <w:rsid w:val="000F4767"/>
    <w:rsid w:val="000F5369"/>
    <w:rsid w:val="000F5434"/>
    <w:rsid w:val="000F59E3"/>
    <w:rsid w:val="000F64C3"/>
    <w:rsid w:val="000F6D7D"/>
    <w:rsid w:val="001004DC"/>
    <w:rsid w:val="00100981"/>
    <w:rsid w:val="00100D4B"/>
    <w:rsid w:val="00100DB9"/>
    <w:rsid w:val="00100FE7"/>
    <w:rsid w:val="0010219A"/>
    <w:rsid w:val="001024A1"/>
    <w:rsid w:val="00102CE0"/>
    <w:rsid w:val="00102DA8"/>
    <w:rsid w:val="00105459"/>
    <w:rsid w:val="00106D2C"/>
    <w:rsid w:val="00107B57"/>
    <w:rsid w:val="00107BBC"/>
    <w:rsid w:val="00110619"/>
    <w:rsid w:val="00111225"/>
    <w:rsid w:val="00111489"/>
    <w:rsid w:val="00111CAE"/>
    <w:rsid w:val="00111D40"/>
    <w:rsid w:val="0011220A"/>
    <w:rsid w:val="0011238A"/>
    <w:rsid w:val="00112E4C"/>
    <w:rsid w:val="00113308"/>
    <w:rsid w:val="001133F5"/>
    <w:rsid w:val="00113832"/>
    <w:rsid w:val="00113EA3"/>
    <w:rsid w:val="00114592"/>
    <w:rsid w:val="001147BB"/>
    <w:rsid w:val="001149A8"/>
    <w:rsid w:val="001155A4"/>
    <w:rsid w:val="001156F3"/>
    <w:rsid w:val="00115C50"/>
    <w:rsid w:val="00116291"/>
    <w:rsid w:val="0011689B"/>
    <w:rsid w:val="00116A7C"/>
    <w:rsid w:val="00116C4B"/>
    <w:rsid w:val="00116FF6"/>
    <w:rsid w:val="00117972"/>
    <w:rsid w:val="00117A14"/>
    <w:rsid w:val="00117AEE"/>
    <w:rsid w:val="00117EF5"/>
    <w:rsid w:val="0012029E"/>
    <w:rsid w:val="00120511"/>
    <w:rsid w:val="00120DD7"/>
    <w:rsid w:val="00121142"/>
    <w:rsid w:val="0012185F"/>
    <w:rsid w:val="00121A6D"/>
    <w:rsid w:val="00121E32"/>
    <w:rsid w:val="00122229"/>
    <w:rsid w:val="0012247D"/>
    <w:rsid w:val="00122CC1"/>
    <w:rsid w:val="00123025"/>
    <w:rsid w:val="001234C2"/>
    <w:rsid w:val="0012401E"/>
    <w:rsid w:val="001247E1"/>
    <w:rsid w:val="00124A77"/>
    <w:rsid w:val="00124B30"/>
    <w:rsid w:val="00125933"/>
    <w:rsid w:val="00125947"/>
    <w:rsid w:val="00125A3D"/>
    <w:rsid w:val="00125EC8"/>
    <w:rsid w:val="00125FF4"/>
    <w:rsid w:val="00126602"/>
    <w:rsid w:val="001272D0"/>
    <w:rsid w:val="00127569"/>
    <w:rsid w:val="0012780D"/>
    <w:rsid w:val="00127FD5"/>
    <w:rsid w:val="0013059D"/>
    <w:rsid w:val="00130A19"/>
    <w:rsid w:val="001314EF"/>
    <w:rsid w:val="00132105"/>
    <w:rsid w:val="00132C34"/>
    <w:rsid w:val="0013329D"/>
    <w:rsid w:val="00133628"/>
    <w:rsid w:val="001349E8"/>
    <w:rsid w:val="00134ADA"/>
    <w:rsid w:val="0013507E"/>
    <w:rsid w:val="00135A87"/>
    <w:rsid w:val="00135C29"/>
    <w:rsid w:val="00137D43"/>
    <w:rsid w:val="00140251"/>
    <w:rsid w:val="001406F9"/>
    <w:rsid w:val="0014074F"/>
    <w:rsid w:val="001419E4"/>
    <w:rsid w:val="00141FF8"/>
    <w:rsid w:val="00142007"/>
    <w:rsid w:val="001425BB"/>
    <w:rsid w:val="001428B2"/>
    <w:rsid w:val="001434A0"/>
    <w:rsid w:val="0014403B"/>
    <w:rsid w:val="00144A37"/>
    <w:rsid w:val="00144FEF"/>
    <w:rsid w:val="0014524F"/>
    <w:rsid w:val="001458C9"/>
    <w:rsid w:val="001467B1"/>
    <w:rsid w:val="0014682C"/>
    <w:rsid w:val="00146893"/>
    <w:rsid w:val="00146C1B"/>
    <w:rsid w:val="00146CBB"/>
    <w:rsid w:val="001477D1"/>
    <w:rsid w:val="0015016E"/>
    <w:rsid w:val="00150592"/>
    <w:rsid w:val="001506FE"/>
    <w:rsid w:val="00150753"/>
    <w:rsid w:val="00150C3C"/>
    <w:rsid w:val="00150D4D"/>
    <w:rsid w:val="00150DF7"/>
    <w:rsid w:val="001510C7"/>
    <w:rsid w:val="00151985"/>
    <w:rsid w:val="0015231B"/>
    <w:rsid w:val="001528DF"/>
    <w:rsid w:val="00152B74"/>
    <w:rsid w:val="00152DCC"/>
    <w:rsid w:val="00152E5C"/>
    <w:rsid w:val="00153536"/>
    <w:rsid w:val="00153655"/>
    <w:rsid w:val="00153801"/>
    <w:rsid w:val="00153A29"/>
    <w:rsid w:val="00153E6B"/>
    <w:rsid w:val="001541E0"/>
    <w:rsid w:val="00155D0B"/>
    <w:rsid w:val="00155E1D"/>
    <w:rsid w:val="00155F01"/>
    <w:rsid w:val="001560F3"/>
    <w:rsid w:val="0015788E"/>
    <w:rsid w:val="001603D6"/>
    <w:rsid w:val="00161E0A"/>
    <w:rsid w:val="00162591"/>
    <w:rsid w:val="00162B9D"/>
    <w:rsid w:val="001630A1"/>
    <w:rsid w:val="0016313A"/>
    <w:rsid w:val="001632B0"/>
    <w:rsid w:val="00163729"/>
    <w:rsid w:val="00164889"/>
    <w:rsid w:val="00164DAA"/>
    <w:rsid w:val="00165829"/>
    <w:rsid w:val="00165A91"/>
    <w:rsid w:val="00165EA9"/>
    <w:rsid w:val="00166403"/>
    <w:rsid w:val="001668F0"/>
    <w:rsid w:val="0016702E"/>
    <w:rsid w:val="001678A4"/>
    <w:rsid w:val="00167D38"/>
    <w:rsid w:val="00167EB1"/>
    <w:rsid w:val="00170925"/>
    <w:rsid w:val="00170EBB"/>
    <w:rsid w:val="0017121B"/>
    <w:rsid w:val="00171278"/>
    <w:rsid w:val="00171336"/>
    <w:rsid w:val="00171E57"/>
    <w:rsid w:val="00171EAC"/>
    <w:rsid w:val="0017230F"/>
    <w:rsid w:val="00172DFC"/>
    <w:rsid w:val="00173286"/>
    <w:rsid w:val="00173846"/>
    <w:rsid w:val="001743BD"/>
    <w:rsid w:val="00175851"/>
    <w:rsid w:val="00175FB8"/>
    <w:rsid w:val="001766E2"/>
    <w:rsid w:val="00177CD3"/>
    <w:rsid w:val="00177CE9"/>
    <w:rsid w:val="0018157E"/>
    <w:rsid w:val="001815A9"/>
    <w:rsid w:val="00181998"/>
    <w:rsid w:val="00181B65"/>
    <w:rsid w:val="001823C3"/>
    <w:rsid w:val="001828D4"/>
    <w:rsid w:val="00182EA5"/>
    <w:rsid w:val="00183D98"/>
    <w:rsid w:val="00183F39"/>
    <w:rsid w:val="001847D0"/>
    <w:rsid w:val="00184801"/>
    <w:rsid w:val="00184C78"/>
    <w:rsid w:val="001853EC"/>
    <w:rsid w:val="00185582"/>
    <w:rsid w:val="00185BAC"/>
    <w:rsid w:val="001865A5"/>
    <w:rsid w:val="00186B67"/>
    <w:rsid w:val="00187104"/>
    <w:rsid w:val="001873FD"/>
    <w:rsid w:val="00187A65"/>
    <w:rsid w:val="00187CF5"/>
    <w:rsid w:val="001904EC"/>
    <w:rsid w:val="00190536"/>
    <w:rsid w:val="001924B2"/>
    <w:rsid w:val="00192898"/>
    <w:rsid w:val="00193874"/>
    <w:rsid w:val="0019444A"/>
    <w:rsid w:val="0019495A"/>
    <w:rsid w:val="001951F2"/>
    <w:rsid w:val="001956C8"/>
    <w:rsid w:val="001956EA"/>
    <w:rsid w:val="001959D5"/>
    <w:rsid w:val="001960B4"/>
    <w:rsid w:val="00196255"/>
    <w:rsid w:val="0019693F"/>
    <w:rsid w:val="00196ABE"/>
    <w:rsid w:val="00196DE2"/>
    <w:rsid w:val="00196FEB"/>
    <w:rsid w:val="00197CC8"/>
    <w:rsid w:val="00197E1B"/>
    <w:rsid w:val="001A018D"/>
    <w:rsid w:val="001A0BCA"/>
    <w:rsid w:val="001A0FF0"/>
    <w:rsid w:val="001A13AD"/>
    <w:rsid w:val="001A1B18"/>
    <w:rsid w:val="001A2850"/>
    <w:rsid w:val="001A2CD6"/>
    <w:rsid w:val="001A2F08"/>
    <w:rsid w:val="001A3E79"/>
    <w:rsid w:val="001A4270"/>
    <w:rsid w:val="001A5115"/>
    <w:rsid w:val="001A55F6"/>
    <w:rsid w:val="001A5FAF"/>
    <w:rsid w:val="001A613B"/>
    <w:rsid w:val="001A7AC1"/>
    <w:rsid w:val="001B0115"/>
    <w:rsid w:val="001B06EB"/>
    <w:rsid w:val="001B0768"/>
    <w:rsid w:val="001B0D83"/>
    <w:rsid w:val="001B195D"/>
    <w:rsid w:val="001B2334"/>
    <w:rsid w:val="001B2BF8"/>
    <w:rsid w:val="001B2C82"/>
    <w:rsid w:val="001B2D11"/>
    <w:rsid w:val="001B2DC3"/>
    <w:rsid w:val="001B2FBC"/>
    <w:rsid w:val="001B309C"/>
    <w:rsid w:val="001B3230"/>
    <w:rsid w:val="001B3306"/>
    <w:rsid w:val="001B37A5"/>
    <w:rsid w:val="001B39F6"/>
    <w:rsid w:val="001B3F81"/>
    <w:rsid w:val="001B3FA1"/>
    <w:rsid w:val="001B475D"/>
    <w:rsid w:val="001B4E52"/>
    <w:rsid w:val="001B5D38"/>
    <w:rsid w:val="001B5D79"/>
    <w:rsid w:val="001B61FA"/>
    <w:rsid w:val="001B6254"/>
    <w:rsid w:val="001B636B"/>
    <w:rsid w:val="001B674A"/>
    <w:rsid w:val="001B6880"/>
    <w:rsid w:val="001B6992"/>
    <w:rsid w:val="001B6E81"/>
    <w:rsid w:val="001C00FC"/>
    <w:rsid w:val="001C012D"/>
    <w:rsid w:val="001C0363"/>
    <w:rsid w:val="001C06F0"/>
    <w:rsid w:val="001C070D"/>
    <w:rsid w:val="001C0884"/>
    <w:rsid w:val="001C0EEB"/>
    <w:rsid w:val="001C13D3"/>
    <w:rsid w:val="001C16C3"/>
    <w:rsid w:val="001C1BA3"/>
    <w:rsid w:val="001C2311"/>
    <w:rsid w:val="001C23BB"/>
    <w:rsid w:val="001C26FB"/>
    <w:rsid w:val="001C2907"/>
    <w:rsid w:val="001C3021"/>
    <w:rsid w:val="001C3033"/>
    <w:rsid w:val="001C323A"/>
    <w:rsid w:val="001C3481"/>
    <w:rsid w:val="001C38DC"/>
    <w:rsid w:val="001C3906"/>
    <w:rsid w:val="001C4259"/>
    <w:rsid w:val="001C4558"/>
    <w:rsid w:val="001C4BF7"/>
    <w:rsid w:val="001C59C8"/>
    <w:rsid w:val="001C5A12"/>
    <w:rsid w:val="001C5CDF"/>
    <w:rsid w:val="001C62AF"/>
    <w:rsid w:val="001C64E6"/>
    <w:rsid w:val="001C69FC"/>
    <w:rsid w:val="001C7125"/>
    <w:rsid w:val="001C75FC"/>
    <w:rsid w:val="001C7C3B"/>
    <w:rsid w:val="001C7F1A"/>
    <w:rsid w:val="001D04D7"/>
    <w:rsid w:val="001D0594"/>
    <w:rsid w:val="001D05AD"/>
    <w:rsid w:val="001D1195"/>
    <w:rsid w:val="001D12F2"/>
    <w:rsid w:val="001D177F"/>
    <w:rsid w:val="001D2205"/>
    <w:rsid w:val="001D3EE6"/>
    <w:rsid w:val="001D4759"/>
    <w:rsid w:val="001D4A01"/>
    <w:rsid w:val="001D4D7E"/>
    <w:rsid w:val="001D4DBF"/>
    <w:rsid w:val="001D57E9"/>
    <w:rsid w:val="001D5840"/>
    <w:rsid w:val="001D5BFA"/>
    <w:rsid w:val="001D60B4"/>
    <w:rsid w:val="001D61EF"/>
    <w:rsid w:val="001D63C1"/>
    <w:rsid w:val="001D6B7F"/>
    <w:rsid w:val="001D6C08"/>
    <w:rsid w:val="001D6CC2"/>
    <w:rsid w:val="001D6CE7"/>
    <w:rsid w:val="001D6FC4"/>
    <w:rsid w:val="001D7D84"/>
    <w:rsid w:val="001D7D99"/>
    <w:rsid w:val="001D7DAA"/>
    <w:rsid w:val="001E013B"/>
    <w:rsid w:val="001E02A3"/>
    <w:rsid w:val="001E0912"/>
    <w:rsid w:val="001E09F6"/>
    <w:rsid w:val="001E0F10"/>
    <w:rsid w:val="001E2464"/>
    <w:rsid w:val="001E3109"/>
    <w:rsid w:val="001E32FA"/>
    <w:rsid w:val="001E3C7B"/>
    <w:rsid w:val="001E4C48"/>
    <w:rsid w:val="001E6087"/>
    <w:rsid w:val="001E633D"/>
    <w:rsid w:val="001E6AC6"/>
    <w:rsid w:val="001E74B2"/>
    <w:rsid w:val="001E7A1E"/>
    <w:rsid w:val="001F0533"/>
    <w:rsid w:val="001F0585"/>
    <w:rsid w:val="001F0745"/>
    <w:rsid w:val="001F0FFA"/>
    <w:rsid w:val="001F1433"/>
    <w:rsid w:val="001F16EC"/>
    <w:rsid w:val="001F23CE"/>
    <w:rsid w:val="001F27E1"/>
    <w:rsid w:val="001F333D"/>
    <w:rsid w:val="001F34B1"/>
    <w:rsid w:val="001F3D85"/>
    <w:rsid w:val="001F4D11"/>
    <w:rsid w:val="001F5140"/>
    <w:rsid w:val="001F5495"/>
    <w:rsid w:val="001F55BE"/>
    <w:rsid w:val="001F5975"/>
    <w:rsid w:val="001F5DCA"/>
    <w:rsid w:val="001F6155"/>
    <w:rsid w:val="001F64DE"/>
    <w:rsid w:val="001F69C6"/>
    <w:rsid w:val="001F7538"/>
    <w:rsid w:val="002000B6"/>
    <w:rsid w:val="0020019B"/>
    <w:rsid w:val="00200339"/>
    <w:rsid w:val="00200CE8"/>
    <w:rsid w:val="00200E25"/>
    <w:rsid w:val="00202687"/>
    <w:rsid w:val="00202C14"/>
    <w:rsid w:val="002030DC"/>
    <w:rsid w:val="002049E0"/>
    <w:rsid w:val="002054E6"/>
    <w:rsid w:val="00205F7A"/>
    <w:rsid w:val="0020643A"/>
    <w:rsid w:val="00206606"/>
    <w:rsid w:val="00206B4D"/>
    <w:rsid w:val="00207D91"/>
    <w:rsid w:val="002107C3"/>
    <w:rsid w:val="00210ECB"/>
    <w:rsid w:val="00211157"/>
    <w:rsid w:val="00212483"/>
    <w:rsid w:val="00212727"/>
    <w:rsid w:val="00213B2C"/>
    <w:rsid w:val="00213F43"/>
    <w:rsid w:val="00216343"/>
    <w:rsid w:val="0021690C"/>
    <w:rsid w:val="00220A69"/>
    <w:rsid w:val="00220C8B"/>
    <w:rsid w:val="00220D3A"/>
    <w:rsid w:val="002213C2"/>
    <w:rsid w:val="002214D4"/>
    <w:rsid w:val="002215BA"/>
    <w:rsid w:val="0022191B"/>
    <w:rsid w:val="00222599"/>
    <w:rsid w:val="0022290B"/>
    <w:rsid w:val="0022430B"/>
    <w:rsid w:val="0022435E"/>
    <w:rsid w:val="002249B2"/>
    <w:rsid w:val="00224FAC"/>
    <w:rsid w:val="00224FEF"/>
    <w:rsid w:val="002254C9"/>
    <w:rsid w:val="002259F9"/>
    <w:rsid w:val="00226550"/>
    <w:rsid w:val="00226EDD"/>
    <w:rsid w:val="0022798F"/>
    <w:rsid w:val="00227BE1"/>
    <w:rsid w:val="00230146"/>
    <w:rsid w:val="00230BCB"/>
    <w:rsid w:val="00230D50"/>
    <w:rsid w:val="00231107"/>
    <w:rsid w:val="002314B2"/>
    <w:rsid w:val="00231F5B"/>
    <w:rsid w:val="0023248B"/>
    <w:rsid w:val="0023358A"/>
    <w:rsid w:val="002339B8"/>
    <w:rsid w:val="00234BE0"/>
    <w:rsid w:val="0023544F"/>
    <w:rsid w:val="00235E41"/>
    <w:rsid w:val="00236165"/>
    <w:rsid w:val="002364F3"/>
    <w:rsid w:val="002367CB"/>
    <w:rsid w:val="002367ED"/>
    <w:rsid w:val="00236DEC"/>
    <w:rsid w:val="00237CA7"/>
    <w:rsid w:val="00237CDA"/>
    <w:rsid w:val="00240EE4"/>
    <w:rsid w:val="00241478"/>
    <w:rsid w:val="002417C2"/>
    <w:rsid w:val="00241B1D"/>
    <w:rsid w:val="0024259F"/>
    <w:rsid w:val="002432DE"/>
    <w:rsid w:val="00243491"/>
    <w:rsid w:val="00243916"/>
    <w:rsid w:val="00245209"/>
    <w:rsid w:val="00245352"/>
    <w:rsid w:val="00245C7A"/>
    <w:rsid w:val="00245F87"/>
    <w:rsid w:val="00246764"/>
    <w:rsid w:val="00246E03"/>
    <w:rsid w:val="002477A4"/>
    <w:rsid w:val="00247A02"/>
    <w:rsid w:val="00247AE7"/>
    <w:rsid w:val="00247ED7"/>
    <w:rsid w:val="00247F8E"/>
    <w:rsid w:val="00251C62"/>
    <w:rsid w:val="00252E60"/>
    <w:rsid w:val="00253156"/>
    <w:rsid w:val="002545D8"/>
    <w:rsid w:val="002549D6"/>
    <w:rsid w:val="00254D80"/>
    <w:rsid w:val="00254E0E"/>
    <w:rsid w:val="00255741"/>
    <w:rsid w:val="0025610D"/>
    <w:rsid w:val="00256329"/>
    <w:rsid w:val="00256674"/>
    <w:rsid w:val="00256A5E"/>
    <w:rsid w:val="00256CB8"/>
    <w:rsid w:val="00256FEA"/>
    <w:rsid w:val="002575DA"/>
    <w:rsid w:val="002577F8"/>
    <w:rsid w:val="00257ABB"/>
    <w:rsid w:val="002608F5"/>
    <w:rsid w:val="00260986"/>
    <w:rsid w:val="00260E6B"/>
    <w:rsid w:val="00260ECD"/>
    <w:rsid w:val="00261003"/>
    <w:rsid w:val="00261106"/>
    <w:rsid w:val="00262B66"/>
    <w:rsid w:val="00262DEE"/>
    <w:rsid w:val="00263752"/>
    <w:rsid w:val="00263808"/>
    <w:rsid w:val="00264784"/>
    <w:rsid w:val="00264FE2"/>
    <w:rsid w:val="00265B65"/>
    <w:rsid w:val="00266010"/>
    <w:rsid w:val="00266AE9"/>
    <w:rsid w:val="002675D9"/>
    <w:rsid w:val="002703BD"/>
    <w:rsid w:val="00270B18"/>
    <w:rsid w:val="00270B9A"/>
    <w:rsid w:val="002713DD"/>
    <w:rsid w:val="002717FF"/>
    <w:rsid w:val="0027182B"/>
    <w:rsid w:val="00271BAD"/>
    <w:rsid w:val="002741DE"/>
    <w:rsid w:val="002741F6"/>
    <w:rsid w:val="002744A2"/>
    <w:rsid w:val="00274532"/>
    <w:rsid w:val="002748EE"/>
    <w:rsid w:val="00274D2C"/>
    <w:rsid w:val="00275931"/>
    <w:rsid w:val="002759BA"/>
    <w:rsid w:val="00275FF3"/>
    <w:rsid w:val="00276501"/>
    <w:rsid w:val="002765C8"/>
    <w:rsid w:val="00276CE3"/>
    <w:rsid w:val="00276DD9"/>
    <w:rsid w:val="00276E86"/>
    <w:rsid w:val="00277116"/>
    <w:rsid w:val="00277877"/>
    <w:rsid w:val="0028008C"/>
    <w:rsid w:val="002809DE"/>
    <w:rsid w:val="00280AC2"/>
    <w:rsid w:val="00280E80"/>
    <w:rsid w:val="00281322"/>
    <w:rsid w:val="00281BBB"/>
    <w:rsid w:val="00282564"/>
    <w:rsid w:val="00282582"/>
    <w:rsid w:val="0028272C"/>
    <w:rsid w:val="0028303E"/>
    <w:rsid w:val="00283892"/>
    <w:rsid w:val="002844DC"/>
    <w:rsid w:val="0028494B"/>
    <w:rsid w:val="00285756"/>
    <w:rsid w:val="00286BAA"/>
    <w:rsid w:val="00287113"/>
    <w:rsid w:val="00287377"/>
    <w:rsid w:val="0028772D"/>
    <w:rsid w:val="00287F2F"/>
    <w:rsid w:val="0029061D"/>
    <w:rsid w:val="00290C09"/>
    <w:rsid w:val="00291528"/>
    <w:rsid w:val="00291DCC"/>
    <w:rsid w:val="00292041"/>
    <w:rsid w:val="002923B7"/>
    <w:rsid w:val="0029262C"/>
    <w:rsid w:val="00292B60"/>
    <w:rsid w:val="00292DC9"/>
    <w:rsid w:val="0029315B"/>
    <w:rsid w:val="00293E34"/>
    <w:rsid w:val="00294762"/>
    <w:rsid w:val="00294CD6"/>
    <w:rsid w:val="002963D2"/>
    <w:rsid w:val="00296B50"/>
    <w:rsid w:val="00296D83"/>
    <w:rsid w:val="002A06B4"/>
    <w:rsid w:val="002A08C9"/>
    <w:rsid w:val="002A1B61"/>
    <w:rsid w:val="002A1BD8"/>
    <w:rsid w:val="002A2DC2"/>
    <w:rsid w:val="002A3488"/>
    <w:rsid w:val="002A3880"/>
    <w:rsid w:val="002A449E"/>
    <w:rsid w:val="002A4672"/>
    <w:rsid w:val="002A4A1C"/>
    <w:rsid w:val="002A4F07"/>
    <w:rsid w:val="002A72AD"/>
    <w:rsid w:val="002A7ECD"/>
    <w:rsid w:val="002B029D"/>
    <w:rsid w:val="002B13DC"/>
    <w:rsid w:val="002B203F"/>
    <w:rsid w:val="002B211E"/>
    <w:rsid w:val="002B2273"/>
    <w:rsid w:val="002B3122"/>
    <w:rsid w:val="002B3965"/>
    <w:rsid w:val="002B39C5"/>
    <w:rsid w:val="002B4F6A"/>
    <w:rsid w:val="002B5C07"/>
    <w:rsid w:val="002B5DB1"/>
    <w:rsid w:val="002B6118"/>
    <w:rsid w:val="002B6787"/>
    <w:rsid w:val="002B67B8"/>
    <w:rsid w:val="002B7359"/>
    <w:rsid w:val="002B7BFA"/>
    <w:rsid w:val="002B7DCB"/>
    <w:rsid w:val="002B7F21"/>
    <w:rsid w:val="002C0493"/>
    <w:rsid w:val="002C1305"/>
    <w:rsid w:val="002C137E"/>
    <w:rsid w:val="002C15E1"/>
    <w:rsid w:val="002C23D1"/>
    <w:rsid w:val="002C2964"/>
    <w:rsid w:val="002C2B70"/>
    <w:rsid w:val="002C2C92"/>
    <w:rsid w:val="002C3240"/>
    <w:rsid w:val="002C32BF"/>
    <w:rsid w:val="002C3F41"/>
    <w:rsid w:val="002C4F98"/>
    <w:rsid w:val="002C54AE"/>
    <w:rsid w:val="002C54E4"/>
    <w:rsid w:val="002C5723"/>
    <w:rsid w:val="002C5DDB"/>
    <w:rsid w:val="002C658A"/>
    <w:rsid w:val="002C72BC"/>
    <w:rsid w:val="002C765B"/>
    <w:rsid w:val="002C79CF"/>
    <w:rsid w:val="002D0639"/>
    <w:rsid w:val="002D0750"/>
    <w:rsid w:val="002D0ADE"/>
    <w:rsid w:val="002D0F04"/>
    <w:rsid w:val="002D158E"/>
    <w:rsid w:val="002D1D1D"/>
    <w:rsid w:val="002D1EEE"/>
    <w:rsid w:val="002D1F13"/>
    <w:rsid w:val="002D1F5D"/>
    <w:rsid w:val="002D20C3"/>
    <w:rsid w:val="002D2157"/>
    <w:rsid w:val="002D235D"/>
    <w:rsid w:val="002D31F2"/>
    <w:rsid w:val="002D3BEF"/>
    <w:rsid w:val="002D4280"/>
    <w:rsid w:val="002D46B3"/>
    <w:rsid w:val="002D498E"/>
    <w:rsid w:val="002D4C9C"/>
    <w:rsid w:val="002D4CE7"/>
    <w:rsid w:val="002D4E05"/>
    <w:rsid w:val="002D51B4"/>
    <w:rsid w:val="002D673E"/>
    <w:rsid w:val="002D6AF5"/>
    <w:rsid w:val="002D6C7F"/>
    <w:rsid w:val="002E055F"/>
    <w:rsid w:val="002E12D2"/>
    <w:rsid w:val="002E1F59"/>
    <w:rsid w:val="002E2E97"/>
    <w:rsid w:val="002E3107"/>
    <w:rsid w:val="002E363F"/>
    <w:rsid w:val="002E4359"/>
    <w:rsid w:val="002E4650"/>
    <w:rsid w:val="002E46DE"/>
    <w:rsid w:val="002E48B5"/>
    <w:rsid w:val="002E49C7"/>
    <w:rsid w:val="002E4A6A"/>
    <w:rsid w:val="002E5344"/>
    <w:rsid w:val="002E562C"/>
    <w:rsid w:val="002E574C"/>
    <w:rsid w:val="002E5FD0"/>
    <w:rsid w:val="002E60A6"/>
    <w:rsid w:val="002E6BB2"/>
    <w:rsid w:val="002E73BF"/>
    <w:rsid w:val="002F0121"/>
    <w:rsid w:val="002F0943"/>
    <w:rsid w:val="002F096A"/>
    <w:rsid w:val="002F0D53"/>
    <w:rsid w:val="002F0FE8"/>
    <w:rsid w:val="002F101B"/>
    <w:rsid w:val="002F1221"/>
    <w:rsid w:val="002F144E"/>
    <w:rsid w:val="002F1672"/>
    <w:rsid w:val="002F1D97"/>
    <w:rsid w:val="002F22C9"/>
    <w:rsid w:val="002F2367"/>
    <w:rsid w:val="002F284F"/>
    <w:rsid w:val="002F2D5A"/>
    <w:rsid w:val="002F3715"/>
    <w:rsid w:val="002F3D55"/>
    <w:rsid w:val="002F4141"/>
    <w:rsid w:val="002F4842"/>
    <w:rsid w:val="002F4AD5"/>
    <w:rsid w:val="002F5016"/>
    <w:rsid w:val="002F5852"/>
    <w:rsid w:val="002F5C1C"/>
    <w:rsid w:val="002F62A7"/>
    <w:rsid w:val="002F6CF8"/>
    <w:rsid w:val="002F7686"/>
    <w:rsid w:val="002F7CEF"/>
    <w:rsid w:val="0030060F"/>
    <w:rsid w:val="003006C1"/>
    <w:rsid w:val="00300DEE"/>
    <w:rsid w:val="00300F21"/>
    <w:rsid w:val="00301BBF"/>
    <w:rsid w:val="00301E51"/>
    <w:rsid w:val="00302244"/>
    <w:rsid w:val="003022CB"/>
    <w:rsid w:val="003023A2"/>
    <w:rsid w:val="00302BB3"/>
    <w:rsid w:val="00303614"/>
    <w:rsid w:val="0030387E"/>
    <w:rsid w:val="00303E54"/>
    <w:rsid w:val="0030421D"/>
    <w:rsid w:val="0030435D"/>
    <w:rsid w:val="0030481F"/>
    <w:rsid w:val="0030562E"/>
    <w:rsid w:val="00305EE5"/>
    <w:rsid w:val="00305F74"/>
    <w:rsid w:val="00306E9C"/>
    <w:rsid w:val="00307ABF"/>
    <w:rsid w:val="003105EC"/>
    <w:rsid w:val="0031082C"/>
    <w:rsid w:val="003111BE"/>
    <w:rsid w:val="003112A2"/>
    <w:rsid w:val="0031131D"/>
    <w:rsid w:val="00311511"/>
    <w:rsid w:val="003116C9"/>
    <w:rsid w:val="00311FF2"/>
    <w:rsid w:val="00312005"/>
    <w:rsid w:val="003122B8"/>
    <w:rsid w:val="0031278C"/>
    <w:rsid w:val="00312A00"/>
    <w:rsid w:val="00312CF1"/>
    <w:rsid w:val="0031361F"/>
    <w:rsid w:val="00313C8D"/>
    <w:rsid w:val="00313DA5"/>
    <w:rsid w:val="003147A7"/>
    <w:rsid w:val="003157B6"/>
    <w:rsid w:val="00315AE0"/>
    <w:rsid w:val="0031630F"/>
    <w:rsid w:val="00316640"/>
    <w:rsid w:val="003168FC"/>
    <w:rsid w:val="00316FFA"/>
    <w:rsid w:val="003172B4"/>
    <w:rsid w:val="00317AD0"/>
    <w:rsid w:val="00317B7E"/>
    <w:rsid w:val="00320123"/>
    <w:rsid w:val="00320171"/>
    <w:rsid w:val="003207D3"/>
    <w:rsid w:val="00320BE6"/>
    <w:rsid w:val="003214B4"/>
    <w:rsid w:val="00321600"/>
    <w:rsid w:val="00321B47"/>
    <w:rsid w:val="00322543"/>
    <w:rsid w:val="00322FB3"/>
    <w:rsid w:val="00323F66"/>
    <w:rsid w:val="00324907"/>
    <w:rsid w:val="00324BC1"/>
    <w:rsid w:val="00324C19"/>
    <w:rsid w:val="00324D5B"/>
    <w:rsid w:val="00324ECC"/>
    <w:rsid w:val="003255AB"/>
    <w:rsid w:val="00325905"/>
    <w:rsid w:val="00325957"/>
    <w:rsid w:val="00325A60"/>
    <w:rsid w:val="00326939"/>
    <w:rsid w:val="00326EBE"/>
    <w:rsid w:val="0032702B"/>
    <w:rsid w:val="0032709E"/>
    <w:rsid w:val="0032779C"/>
    <w:rsid w:val="003306B5"/>
    <w:rsid w:val="00331160"/>
    <w:rsid w:val="00331225"/>
    <w:rsid w:val="003320B1"/>
    <w:rsid w:val="00332208"/>
    <w:rsid w:val="003336C7"/>
    <w:rsid w:val="00334656"/>
    <w:rsid w:val="003346D4"/>
    <w:rsid w:val="0033488C"/>
    <w:rsid w:val="0033518C"/>
    <w:rsid w:val="00336059"/>
    <w:rsid w:val="0033632B"/>
    <w:rsid w:val="003370DC"/>
    <w:rsid w:val="0033763A"/>
    <w:rsid w:val="003377E1"/>
    <w:rsid w:val="003400B9"/>
    <w:rsid w:val="00340105"/>
    <w:rsid w:val="00340853"/>
    <w:rsid w:val="003408BA"/>
    <w:rsid w:val="003408FA"/>
    <w:rsid w:val="0034114D"/>
    <w:rsid w:val="003411F5"/>
    <w:rsid w:val="00341B03"/>
    <w:rsid w:val="003420C4"/>
    <w:rsid w:val="003426A5"/>
    <w:rsid w:val="00342A5D"/>
    <w:rsid w:val="0034308F"/>
    <w:rsid w:val="003431CB"/>
    <w:rsid w:val="003436ED"/>
    <w:rsid w:val="00343C9B"/>
    <w:rsid w:val="003441CF"/>
    <w:rsid w:val="003454FB"/>
    <w:rsid w:val="00345A2F"/>
    <w:rsid w:val="00345A76"/>
    <w:rsid w:val="00345E61"/>
    <w:rsid w:val="00345EE3"/>
    <w:rsid w:val="00346004"/>
    <w:rsid w:val="0034601F"/>
    <w:rsid w:val="00346326"/>
    <w:rsid w:val="0034680B"/>
    <w:rsid w:val="00346936"/>
    <w:rsid w:val="00346DFE"/>
    <w:rsid w:val="00346F5B"/>
    <w:rsid w:val="003470F9"/>
    <w:rsid w:val="00347C51"/>
    <w:rsid w:val="00350254"/>
    <w:rsid w:val="00351BEE"/>
    <w:rsid w:val="00352296"/>
    <w:rsid w:val="00352E69"/>
    <w:rsid w:val="00352FE4"/>
    <w:rsid w:val="003533A8"/>
    <w:rsid w:val="003542FA"/>
    <w:rsid w:val="00354A29"/>
    <w:rsid w:val="00355046"/>
    <w:rsid w:val="003552CE"/>
    <w:rsid w:val="003555C5"/>
    <w:rsid w:val="00355924"/>
    <w:rsid w:val="00355E76"/>
    <w:rsid w:val="0035625D"/>
    <w:rsid w:val="003564DD"/>
    <w:rsid w:val="0035694C"/>
    <w:rsid w:val="003573A4"/>
    <w:rsid w:val="0036059A"/>
    <w:rsid w:val="003609E6"/>
    <w:rsid w:val="00360C87"/>
    <w:rsid w:val="00361561"/>
    <w:rsid w:val="00361B58"/>
    <w:rsid w:val="003622FE"/>
    <w:rsid w:val="00362D06"/>
    <w:rsid w:val="003636F1"/>
    <w:rsid w:val="00363742"/>
    <w:rsid w:val="003639F2"/>
    <w:rsid w:val="00363AB8"/>
    <w:rsid w:val="00364EDB"/>
    <w:rsid w:val="00364F32"/>
    <w:rsid w:val="0036518F"/>
    <w:rsid w:val="00365468"/>
    <w:rsid w:val="00366117"/>
    <w:rsid w:val="0036663C"/>
    <w:rsid w:val="0036709B"/>
    <w:rsid w:val="00367177"/>
    <w:rsid w:val="003671C1"/>
    <w:rsid w:val="003677DA"/>
    <w:rsid w:val="003679FF"/>
    <w:rsid w:val="00367A61"/>
    <w:rsid w:val="00367C96"/>
    <w:rsid w:val="00372B63"/>
    <w:rsid w:val="00372EA8"/>
    <w:rsid w:val="00373023"/>
    <w:rsid w:val="00373311"/>
    <w:rsid w:val="00373C71"/>
    <w:rsid w:val="00373D42"/>
    <w:rsid w:val="00373E12"/>
    <w:rsid w:val="00373EFE"/>
    <w:rsid w:val="003740E0"/>
    <w:rsid w:val="0037416D"/>
    <w:rsid w:val="00374588"/>
    <w:rsid w:val="0037461C"/>
    <w:rsid w:val="00374D42"/>
    <w:rsid w:val="00374E6E"/>
    <w:rsid w:val="0037623E"/>
    <w:rsid w:val="00376464"/>
    <w:rsid w:val="0037664F"/>
    <w:rsid w:val="00376848"/>
    <w:rsid w:val="003773C8"/>
    <w:rsid w:val="0037781F"/>
    <w:rsid w:val="003805BA"/>
    <w:rsid w:val="0038091F"/>
    <w:rsid w:val="0038097F"/>
    <w:rsid w:val="00380E6D"/>
    <w:rsid w:val="00380F0B"/>
    <w:rsid w:val="003811B9"/>
    <w:rsid w:val="003815A8"/>
    <w:rsid w:val="00381759"/>
    <w:rsid w:val="00381823"/>
    <w:rsid w:val="00381D4C"/>
    <w:rsid w:val="00381FD4"/>
    <w:rsid w:val="003820A1"/>
    <w:rsid w:val="003820DF"/>
    <w:rsid w:val="00383235"/>
    <w:rsid w:val="00383802"/>
    <w:rsid w:val="00383AC4"/>
    <w:rsid w:val="00383BC4"/>
    <w:rsid w:val="003843B1"/>
    <w:rsid w:val="00384E38"/>
    <w:rsid w:val="003854FB"/>
    <w:rsid w:val="003861C0"/>
    <w:rsid w:val="00386881"/>
    <w:rsid w:val="00386CDA"/>
    <w:rsid w:val="00386F9F"/>
    <w:rsid w:val="00387E4C"/>
    <w:rsid w:val="0039027F"/>
    <w:rsid w:val="00390345"/>
    <w:rsid w:val="003905C1"/>
    <w:rsid w:val="003905F5"/>
    <w:rsid w:val="00390F56"/>
    <w:rsid w:val="003911D2"/>
    <w:rsid w:val="00391682"/>
    <w:rsid w:val="0039179E"/>
    <w:rsid w:val="00391AB3"/>
    <w:rsid w:val="00392222"/>
    <w:rsid w:val="00392996"/>
    <w:rsid w:val="00392D9C"/>
    <w:rsid w:val="00394762"/>
    <w:rsid w:val="00394A90"/>
    <w:rsid w:val="00394B5C"/>
    <w:rsid w:val="00394CA8"/>
    <w:rsid w:val="003955DE"/>
    <w:rsid w:val="00395A22"/>
    <w:rsid w:val="00395F3A"/>
    <w:rsid w:val="003965B4"/>
    <w:rsid w:val="00396637"/>
    <w:rsid w:val="003969A3"/>
    <w:rsid w:val="00396AF5"/>
    <w:rsid w:val="00396B95"/>
    <w:rsid w:val="00396C88"/>
    <w:rsid w:val="00397306"/>
    <w:rsid w:val="003976D9"/>
    <w:rsid w:val="003A009B"/>
    <w:rsid w:val="003A03A2"/>
    <w:rsid w:val="003A0F40"/>
    <w:rsid w:val="003A1909"/>
    <w:rsid w:val="003A29B8"/>
    <w:rsid w:val="003A37ED"/>
    <w:rsid w:val="003A3CDB"/>
    <w:rsid w:val="003A3E98"/>
    <w:rsid w:val="003A4582"/>
    <w:rsid w:val="003A4729"/>
    <w:rsid w:val="003A49BD"/>
    <w:rsid w:val="003A53E3"/>
    <w:rsid w:val="003A57B3"/>
    <w:rsid w:val="003A59F8"/>
    <w:rsid w:val="003A69F9"/>
    <w:rsid w:val="003A6D2B"/>
    <w:rsid w:val="003A6EB7"/>
    <w:rsid w:val="003A7C75"/>
    <w:rsid w:val="003A7DBC"/>
    <w:rsid w:val="003A7F0D"/>
    <w:rsid w:val="003B02F8"/>
    <w:rsid w:val="003B0E3D"/>
    <w:rsid w:val="003B119F"/>
    <w:rsid w:val="003B1364"/>
    <w:rsid w:val="003B1851"/>
    <w:rsid w:val="003B1AE8"/>
    <w:rsid w:val="003B1E13"/>
    <w:rsid w:val="003B1F1B"/>
    <w:rsid w:val="003B22C7"/>
    <w:rsid w:val="003B249B"/>
    <w:rsid w:val="003B32BC"/>
    <w:rsid w:val="003B4396"/>
    <w:rsid w:val="003B4607"/>
    <w:rsid w:val="003B4DC5"/>
    <w:rsid w:val="003B4DE1"/>
    <w:rsid w:val="003B5005"/>
    <w:rsid w:val="003B51D6"/>
    <w:rsid w:val="003B520C"/>
    <w:rsid w:val="003B6194"/>
    <w:rsid w:val="003B625D"/>
    <w:rsid w:val="003B630F"/>
    <w:rsid w:val="003B70CC"/>
    <w:rsid w:val="003B7304"/>
    <w:rsid w:val="003B787D"/>
    <w:rsid w:val="003B7EB8"/>
    <w:rsid w:val="003C052B"/>
    <w:rsid w:val="003C07E0"/>
    <w:rsid w:val="003C1119"/>
    <w:rsid w:val="003C1634"/>
    <w:rsid w:val="003C2138"/>
    <w:rsid w:val="003C239C"/>
    <w:rsid w:val="003C2C55"/>
    <w:rsid w:val="003C3E2A"/>
    <w:rsid w:val="003C45E5"/>
    <w:rsid w:val="003C4979"/>
    <w:rsid w:val="003C5A39"/>
    <w:rsid w:val="003C5CD3"/>
    <w:rsid w:val="003C5F6D"/>
    <w:rsid w:val="003C62D4"/>
    <w:rsid w:val="003C697C"/>
    <w:rsid w:val="003C7766"/>
    <w:rsid w:val="003C7E91"/>
    <w:rsid w:val="003D0256"/>
    <w:rsid w:val="003D07ED"/>
    <w:rsid w:val="003D08E4"/>
    <w:rsid w:val="003D0D7C"/>
    <w:rsid w:val="003D0DB8"/>
    <w:rsid w:val="003D13B4"/>
    <w:rsid w:val="003D1E0C"/>
    <w:rsid w:val="003D2523"/>
    <w:rsid w:val="003D27A3"/>
    <w:rsid w:val="003D3DAB"/>
    <w:rsid w:val="003D3EE4"/>
    <w:rsid w:val="003D5056"/>
    <w:rsid w:val="003D7A66"/>
    <w:rsid w:val="003E0BF8"/>
    <w:rsid w:val="003E0EB2"/>
    <w:rsid w:val="003E0FDA"/>
    <w:rsid w:val="003E17F7"/>
    <w:rsid w:val="003E255A"/>
    <w:rsid w:val="003E2C16"/>
    <w:rsid w:val="003E2E38"/>
    <w:rsid w:val="003E35A1"/>
    <w:rsid w:val="003E378C"/>
    <w:rsid w:val="003E4388"/>
    <w:rsid w:val="003E4C3A"/>
    <w:rsid w:val="003E4E27"/>
    <w:rsid w:val="003E5118"/>
    <w:rsid w:val="003E569C"/>
    <w:rsid w:val="003E5F83"/>
    <w:rsid w:val="003E7038"/>
    <w:rsid w:val="003E771C"/>
    <w:rsid w:val="003E7CEA"/>
    <w:rsid w:val="003F0677"/>
    <w:rsid w:val="003F0DEE"/>
    <w:rsid w:val="003F1235"/>
    <w:rsid w:val="003F13AC"/>
    <w:rsid w:val="003F161F"/>
    <w:rsid w:val="003F1C0A"/>
    <w:rsid w:val="003F1FD2"/>
    <w:rsid w:val="003F2121"/>
    <w:rsid w:val="003F2618"/>
    <w:rsid w:val="003F2786"/>
    <w:rsid w:val="003F2CA8"/>
    <w:rsid w:val="003F2F6B"/>
    <w:rsid w:val="003F2FEC"/>
    <w:rsid w:val="003F3548"/>
    <w:rsid w:val="003F3C54"/>
    <w:rsid w:val="003F3D19"/>
    <w:rsid w:val="003F3E19"/>
    <w:rsid w:val="003F3E30"/>
    <w:rsid w:val="003F4347"/>
    <w:rsid w:val="003F44A1"/>
    <w:rsid w:val="003F4AE1"/>
    <w:rsid w:val="003F5E0C"/>
    <w:rsid w:val="003F611F"/>
    <w:rsid w:val="003F636C"/>
    <w:rsid w:val="003F6766"/>
    <w:rsid w:val="003F69EB"/>
    <w:rsid w:val="003F70AC"/>
    <w:rsid w:val="003F73EB"/>
    <w:rsid w:val="003F78C1"/>
    <w:rsid w:val="003F7C17"/>
    <w:rsid w:val="00400624"/>
    <w:rsid w:val="00400A77"/>
    <w:rsid w:val="00400B0B"/>
    <w:rsid w:val="004012EE"/>
    <w:rsid w:val="0040296A"/>
    <w:rsid w:val="00402974"/>
    <w:rsid w:val="00403843"/>
    <w:rsid w:val="00403CFD"/>
    <w:rsid w:val="004043B5"/>
    <w:rsid w:val="0040467D"/>
    <w:rsid w:val="00405506"/>
    <w:rsid w:val="004059E5"/>
    <w:rsid w:val="00405B73"/>
    <w:rsid w:val="00406A04"/>
    <w:rsid w:val="00406CA8"/>
    <w:rsid w:val="0040793B"/>
    <w:rsid w:val="00407CEC"/>
    <w:rsid w:val="004108C6"/>
    <w:rsid w:val="00410ABD"/>
    <w:rsid w:val="00411575"/>
    <w:rsid w:val="0041159F"/>
    <w:rsid w:val="0041180A"/>
    <w:rsid w:val="00411D33"/>
    <w:rsid w:val="004133BE"/>
    <w:rsid w:val="00413B5C"/>
    <w:rsid w:val="00413FD0"/>
    <w:rsid w:val="004144C5"/>
    <w:rsid w:val="0041494E"/>
    <w:rsid w:val="00414CDE"/>
    <w:rsid w:val="004156D2"/>
    <w:rsid w:val="004158DC"/>
    <w:rsid w:val="00415D85"/>
    <w:rsid w:val="0041692E"/>
    <w:rsid w:val="00416DB1"/>
    <w:rsid w:val="00416E0B"/>
    <w:rsid w:val="004176B8"/>
    <w:rsid w:val="0041775D"/>
    <w:rsid w:val="004202DF"/>
    <w:rsid w:val="004203AB"/>
    <w:rsid w:val="00420F88"/>
    <w:rsid w:val="0042189C"/>
    <w:rsid w:val="004218FA"/>
    <w:rsid w:val="004224FE"/>
    <w:rsid w:val="0042476C"/>
    <w:rsid w:val="004247EB"/>
    <w:rsid w:val="00424950"/>
    <w:rsid w:val="0042525F"/>
    <w:rsid w:val="00426C88"/>
    <w:rsid w:val="00427C91"/>
    <w:rsid w:val="00430C5C"/>
    <w:rsid w:val="00430C74"/>
    <w:rsid w:val="00430D34"/>
    <w:rsid w:val="00430D63"/>
    <w:rsid w:val="004319D7"/>
    <w:rsid w:val="004321DA"/>
    <w:rsid w:val="00432D52"/>
    <w:rsid w:val="004337A9"/>
    <w:rsid w:val="00433C7A"/>
    <w:rsid w:val="00434B4F"/>
    <w:rsid w:val="00434D1A"/>
    <w:rsid w:val="00435040"/>
    <w:rsid w:val="00435705"/>
    <w:rsid w:val="00435AB5"/>
    <w:rsid w:val="00435BAF"/>
    <w:rsid w:val="00435CF5"/>
    <w:rsid w:val="00435E10"/>
    <w:rsid w:val="00435E64"/>
    <w:rsid w:val="00436117"/>
    <w:rsid w:val="0043612F"/>
    <w:rsid w:val="00436C71"/>
    <w:rsid w:val="0043711C"/>
    <w:rsid w:val="00437420"/>
    <w:rsid w:val="00440310"/>
    <w:rsid w:val="0044056F"/>
    <w:rsid w:val="00440CFB"/>
    <w:rsid w:val="00441E4F"/>
    <w:rsid w:val="00442141"/>
    <w:rsid w:val="004421F2"/>
    <w:rsid w:val="00442254"/>
    <w:rsid w:val="0044248B"/>
    <w:rsid w:val="00442A3F"/>
    <w:rsid w:val="00442E06"/>
    <w:rsid w:val="0044344B"/>
    <w:rsid w:val="00443590"/>
    <w:rsid w:val="00443858"/>
    <w:rsid w:val="00444B8E"/>
    <w:rsid w:val="00444F1C"/>
    <w:rsid w:val="0044604B"/>
    <w:rsid w:val="0044703C"/>
    <w:rsid w:val="004471D3"/>
    <w:rsid w:val="00447996"/>
    <w:rsid w:val="00447E12"/>
    <w:rsid w:val="0045065E"/>
    <w:rsid w:val="00450D95"/>
    <w:rsid w:val="0045134C"/>
    <w:rsid w:val="00451E8D"/>
    <w:rsid w:val="004526B3"/>
    <w:rsid w:val="004534FA"/>
    <w:rsid w:val="004536A5"/>
    <w:rsid w:val="004539A3"/>
    <w:rsid w:val="00453D9D"/>
    <w:rsid w:val="0045406E"/>
    <w:rsid w:val="0045485C"/>
    <w:rsid w:val="00454875"/>
    <w:rsid w:val="0045492E"/>
    <w:rsid w:val="00454A68"/>
    <w:rsid w:val="00454C13"/>
    <w:rsid w:val="004552EA"/>
    <w:rsid w:val="0045596C"/>
    <w:rsid w:val="00455F81"/>
    <w:rsid w:val="004561A4"/>
    <w:rsid w:val="00456D4E"/>
    <w:rsid w:val="00456DAB"/>
    <w:rsid w:val="004572E8"/>
    <w:rsid w:val="0045751B"/>
    <w:rsid w:val="00460195"/>
    <w:rsid w:val="0046029C"/>
    <w:rsid w:val="00460D76"/>
    <w:rsid w:val="00461056"/>
    <w:rsid w:val="00461229"/>
    <w:rsid w:val="0046128E"/>
    <w:rsid w:val="00461456"/>
    <w:rsid w:val="00462525"/>
    <w:rsid w:val="004630BF"/>
    <w:rsid w:val="0046334A"/>
    <w:rsid w:val="00463A34"/>
    <w:rsid w:val="00463F98"/>
    <w:rsid w:val="00464593"/>
    <w:rsid w:val="004649EF"/>
    <w:rsid w:val="004650DD"/>
    <w:rsid w:val="00465AE5"/>
    <w:rsid w:val="0046621F"/>
    <w:rsid w:val="00466602"/>
    <w:rsid w:val="00466808"/>
    <w:rsid w:val="004674BA"/>
    <w:rsid w:val="004675BC"/>
    <w:rsid w:val="004679B5"/>
    <w:rsid w:val="00467B6B"/>
    <w:rsid w:val="00470600"/>
    <w:rsid w:val="00470D89"/>
    <w:rsid w:val="00471633"/>
    <w:rsid w:val="004720E9"/>
    <w:rsid w:val="00472A3E"/>
    <w:rsid w:val="00472C7E"/>
    <w:rsid w:val="00472EB0"/>
    <w:rsid w:val="00472F54"/>
    <w:rsid w:val="004738A4"/>
    <w:rsid w:val="00474182"/>
    <w:rsid w:val="00474475"/>
    <w:rsid w:val="004744DB"/>
    <w:rsid w:val="00474569"/>
    <w:rsid w:val="004751CF"/>
    <w:rsid w:val="004756C4"/>
    <w:rsid w:val="00476475"/>
    <w:rsid w:val="004800E3"/>
    <w:rsid w:val="004804C1"/>
    <w:rsid w:val="004809C0"/>
    <w:rsid w:val="00481142"/>
    <w:rsid w:val="0048121E"/>
    <w:rsid w:val="004812F1"/>
    <w:rsid w:val="00481F10"/>
    <w:rsid w:val="0048242C"/>
    <w:rsid w:val="0048290D"/>
    <w:rsid w:val="00483511"/>
    <w:rsid w:val="004849AF"/>
    <w:rsid w:val="00484BE4"/>
    <w:rsid w:val="00485024"/>
    <w:rsid w:val="00485147"/>
    <w:rsid w:val="00485476"/>
    <w:rsid w:val="00485477"/>
    <w:rsid w:val="00485790"/>
    <w:rsid w:val="004857D9"/>
    <w:rsid w:val="00485BFC"/>
    <w:rsid w:val="004869CC"/>
    <w:rsid w:val="0048707E"/>
    <w:rsid w:val="004879FB"/>
    <w:rsid w:val="00487D34"/>
    <w:rsid w:val="00487E24"/>
    <w:rsid w:val="0049008C"/>
    <w:rsid w:val="004904E4"/>
    <w:rsid w:val="00490DD4"/>
    <w:rsid w:val="00491280"/>
    <w:rsid w:val="00491283"/>
    <w:rsid w:val="00491CBA"/>
    <w:rsid w:val="004921EE"/>
    <w:rsid w:val="00492465"/>
    <w:rsid w:val="0049282F"/>
    <w:rsid w:val="00492904"/>
    <w:rsid w:val="0049389D"/>
    <w:rsid w:val="004941D6"/>
    <w:rsid w:val="004955DB"/>
    <w:rsid w:val="00495D1B"/>
    <w:rsid w:val="00496B9D"/>
    <w:rsid w:val="004974D3"/>
    <w:rsid w:val="0049773F"/>
    <w:rsid w:val="00497862"/>
    <w:rsid w:val="004A015A"/>
    <w:rsid w:val="004A0551"/>
    <w:rsid w:val="004A0B20"/>
    <w:rsid w:val="004A0D3A"/>
    <w:rsid w:val="004A1263"/>
    <w:rsid w:val="004A1561"/>
    <w:rsid w:val="004A23E3"/>
    <w:rsid w:val="004A27EF"/>
    <w:rsid w:val="004A2F33"/>
    <w:rsid w:val="004A30F8"/>
    <w:rsid w:val="004A31D9"/>
    <w:rsid w:val="004A4124"/>
    <w:rsid w:val="004A465E"/>
    <w:rsid w:val="004A465F"/>
    <w:rsid w:val="004A4BE2"/>
    <w:rsid w:val="004A5255"/>
    <w:rsid w:val="004A6014"/>
    <w:rsid w:val="004A6121"/>
    <w:rsid w:val="004A62E6"/>
    <w:rsid w:val="004A6783"/>
    <w:rsid w:val="004A7294"/>
    <w:rsid w:val="004A798D"/>
    <w:rsid w:val="004B045D"/>
    <w:rsid w:val="004B05D7"/>
    <w:rsid w:val="004B1208"/>
    <w:rsid w:val="004B1D70"/>
    <w:rsid w:val="004B27CB"/>
    <w:rsid w:val="004B2DF0"/>
    <w:rsid w:val="004B3263"/>
    <w:rsid w:val="004B389E"/>
    <w:rsid w:val="004B3F39"/>
    <w:rsid w:val="004B4AC0"/>
    <w:rsid w:val="004B4D09"/>
    <w:rsid w:val="004B574B"/>
    <w:rsid w:val="004B6EE8"/>
    <w:rsid w:val="004B7C05"/>
    <w:rsid w:val="004C04BA"/>
    <w:rsid w:val="004C06B3"/>
    <w:rsid w:val="004C0DF3"/>
    <w:rsid w:val="004C109F"/>
    <w:rsid w:val="004C2005"/>
    <w:rsid w:val="004C2353"/>
    <w:rsid w:val="004C2E55"/>
    <w:rsid w:val="004C35BA"/>
    <w:rsid w:val="004C3A13"/>
    <w:rsid w:val="004C4420"/>
    <w:rsid w:val="004C4C07"/>
    <w:rsid w:val="004C4E71"/>
    <w:rsid w:val="004C561A"/>
    <w:rsid w:val="004C59B6"/>
    <w:rsid w:val="004C59C2"/>
    <w:rsid w:val="004C600D"/>
    <w:rsid w:val="004C688A"/>
    <w:rsid w:val="004C7146"/>
    <w:rsid w:val="004C7351"/>
    <w:rsid w:val="004C75E5"/>
    <w:rsid w:val="004C7A67"/>
    <w:rsid w:val="004D033E"/>
    <w:rsid w:val="004D05F4"/>
    <w:rsid w:val="004D0980"/>
    <w:rsid w:val="004D09D3"/>
    <w:rsid w:val="004D0CFD"/>
    <w:rsid w:val="004D1093"/>
    <w:rsid w:val="004D183E"/>
    <w:rsid w:val="004D223A"/>
    <w:rsid w:val="004D25AE"/>
    <w:rsid w:val="004D36C0"/>
    <w:rsid w:val="004D37BB"/>
    <w:rsid w:val="004D37E2"/>
    <w:rsid w:val="004D4104"/>
    <w:rsid w:val="004D5613"/>
    <w:rsid w:val="004D592E"/>
    <w:rsid w:val="004D5E4E"/>
    <w:rsid w:val="004D60B4"/>
    <w:rsid w:val="004D60C9"/>
    <w:rsid w:val="004D63B4"/>
    <w:rsid w:val="004D6A65"/>
    <w:rsid w:val="004D6ECC"/>
    <w:rsid w:val="004D7828"/>
    <w:rsid w:val="004D7879"/>
    <w:rsid w:val="004D7927"/>
    <w:rsid w:val="004D7E94"/>
    <w:rsid w:val="004D7ED5"/>
    <w:rsid w:val="004E014B"/>
    <w:rsid w:val="004E0651"/>
    <w:rsid w:val="004E0A57"/>
    <w:rsid w:val="004E0C30"/>
    <w:rsid w:val="004E18C8"/>
    <w:rsid w:val="004E1AE4"/>
    <w:rsid w:val="004E1CEE"/>
    <w:rsid w:val="004E304E"/>
    <w:rsid w:val="004E3D3B"/>
    <w:rsid w:val="004E4262"/>
    <w:rsid w:val="004E48EA"/>
    <w:rsid w:val="004E5085"/>
    <w:rsid w:val="004E594D"/>
    <w:rsid w:val="004E59D3"/>
    <w:rsid w:val="004E5BC8"/>
    <w:rsid w:val="004E6347"/>
    <w:rsid w:val="004E6FBE"/>
    <w:rsid w:val="004E7A51"/>
    <w:rsid w:val="004F0021"/>
    <w:rsid w:val="004F0D00"/>
    <w:rsid w:val="004F18FE"/>
    <w:rsid w:val="004F227D"/>
    <w:rsid w:val="004F3221"/>
    <w:rsid w:val="004F33E0"/>
    <w:rsid w:val="004F345A"/>
    <w:rsid w:val="004F34C7"/>
    <w:rsid w:val="004F38AA"/>
    <w:rsid w:val="004F5B09"/>
    <w:rsid w:val="004F5B5F"/>
    <w:rsid w:val="004F5B9A"/>
    <w:rsid w:val="004F6E98"/>
    <w:rsid w:val="004F744C"/>
    <w:rsid w:val="004F7D3C"/>
    <w:rsid w:val="005005AA"/>
    <w:rsid w:val="00500828"/>
    <w:rsid w:val="00500A27"/>
    <w:rsid w:val="00500D05"/>
    <w:rsid w:val="005012C2"/>
    <w:rsid w:val="0050213C"/>
    <w:rsid w:val="005021FF"/>
    <w:rsid w:val="00502253"/>
    <w:rsid w:val="005027EB"/>
    <w:rsid w:val="005029FC"/>
    <w:rsid w:val="00502B53"/>
    <w:rsid w:val="00502BF7"/>
    <w:rsid w:val="00502CB7"/>
    <w:rsid w:val="0050311E"/>
    <w:rsid w:val="00503696"/>
    <w:rsid w:val="00503C7A"/>
    <w:rsid w:val="00503DDC"/>
    <w:rsid w:val="005042F3"/>
    <w:rsid w:val="0050432A"/>
    <w:rsid w:val="005048DC"/>
    <w:rsid w:val="00504BC2"/>
    <w:rsid w:val="005057FB"/>
    <w:rsid w:val="00505DFC"/>
    <w:rsid w:val="00505EDB"/>
    <w:rsid w:val="005065C3"/>
    <w:rsid w:val="005068C4"/>
    <w:rsid w:val="005070D1"/>
    <w:rsid w:val="005071F4"/>
    <w:rsid w:val="00507399"/>
    <w:rsid w:val="00507A1B"/>
    <w:rsid w:val="0051053E"/>
    <w:rsid w:val="00510D90"/>
    <w:rsid w:val="00511A9E"/>
    <w:rsid w:val="00512A19"/>
    <w:rsid w:val="00512ECB"/>
    <w:rsid w:val="00513A3E"/>
    <w:rsid w:val="005142D8"/>
    <w:rsid w:val="005143A9"/>
    <w:rsid w:val="005147D6"/>
    <w:rsid w:val="005157BA"/>
    <w:rsid w:val="005161AA"/>
    <w:rsid w:val="00516331"/>
    <w:rsid w:val="005163FD"/>
    <w:rsid w:val="005166AF"/>
    <w:rsid w:val="00517A78"/>
    <w:rsid w:val="00517EF7"/>
    <w:rsid w:val="005205AD"/>
    <w:rsid w:val="005205CA"/>
    <w:rsid w:val="00521ECA"/>
    <w:rsid w:val="005225BA"/>
    <w:rsid w:val="005227A8"/>
    <w:rsid w:val="00522929"/>
    <w:rsid w:val="00522DED"/>
    <w:rsid w:val="0052332F"/>
    <w:rsid w:val="00523A60"/>
    <w:rsid w:val="00524683"/>
    <w:rsid w:val="005246E5"/>
    <w:rsid w:val="00525168"/>
    <w:rsid w:val="00525CBC"/>
    <w:rsid w:val="00526AD4"/>
    <w:rsid w:val="00527526"/>
    <w:rsid w:val="00527856"/>
    <w:rsid w:val="005279B0"/>
    <w:rsid w:val="0053025F"/>
    <w:rsid w:val="00530896"/>
    <w:rsid w:val="0053105C"/>
    <w:rsid w:val="00531110"/>
    <w:rsid w:val="0053155D"/>
    <w:rsid w:val="0053192E"/>
    <w:rsid w:val="00531B96"/>
    <w:rsid w:val="005333C4"/>
    <w:rsid w:val="00533AFC"/>
    <w:rsid w:val="00533B44"/>
    <w:rsid w:val="00533DB2"/>
    <w:rsid w:val="00533EE7"/>
    <w:rsid w:val="00533FD5"/>
    <w:rsid w:val="005340B7"/>
    <w:rsid w:val="00534417"/>
    <w:rsid w:val="005349FD"/>
    <w:rsid w:val="00535318"/>
    <w:rsid w:val="005359D4"/>
    <w:rsid w:val="00535E05"/>
    <w:rsid w:val="00536C9C"/>
    <w:rsid w:val="00536D38"/>
    <w:rsid w:val="00536D91"/>
    <w:rsid w:val="00537184"/>
    <w:rsid w:val="00537A0D"/>
    <w:rsid w:val="00537B5F"/>
    <w:rsid w:val="00537D2A"/>
    <w:rsid w:val="00537E28"/>
    <w:rsid w:val="0054068B"/>
    <w:rsid w:val="005409E3"/>
    <w:rsid w:val="00541139"/>
    <w:rsid w:val="005419D6"/>
    <w:rsid w:val="005423F7"/>
    <w:rsid w:val="0054270D"/>
    <w:rsid w:val="00543FCC"/>
    <w:rsid w:val="00544179"/>
    <w:rsid w:val="00544D21"/>
    <w:rsid w:val="00544EB1"/>
    <w:rsid w:val="005453FE"/>
    <w:rsid w:val="0054541F"/>
    <w:rsid w:val="00545950"/>
    <w:rsid w:val="0054662D"/>
    <w:rsid w:val="00546965"/>
    <w:rsid w:val="005478CF"/>
    <w:rsid w:val="005503E7"/>
    <w:rsid w:val="00550426"/>
    <w:rsid w:val="0055130C"/>
    <w:rsid w:val="0055154C"/>
    <w:rsid w:val="0055182C"/>
    <w:rsid w:val="00551B1C"/>
    <w:rsid w:val="00551D8E"/>
    <w:rsid w:val="00552168"/>
    <w:rsid w:val="00552B28"/>
    <w:rsid w:val="0055323D"/>
    <w:rsid w:val="00553432"/>
    <w:rsid w:val="00553468"/>
    <w:rsid w:val="0055448D"/>
    <w:rsid w:val="00554699"/>
    <w:rsid w:val="0055494F"/>
    <w:rsid w:val="00554BBC"/>
    <w:rsid w:val="00554D59"/>
    <w:rsid w:val="00555126"/>
    <w:rsid w:val="00555A63"/>
    <w:rsid w:val="00556558"/>
    <w:rsid w:val="005565B0"/>
    <w:rsid w:val="00556841"/>
    <w:rsid w:val="00556C72"/>
    <w:rsid w:val="00557263"/>
    <w:rsid w:val="0055741E"/>
    <w:rsid w:val="005574BC"/>
    <w:rsid w:val="00557EF2"/>
    <w:rsid w:val="005605FB"/>
    <w:rsid w:val="0056088B"/>
    <w:rsid w:val="005612E3"/>
    <w:rsid w:val="005630F5"/>
    <w:rsid w:val="0056319D"/>
    <w:rsid w:val="005637CE"/>
    <w:rsid w:val="00563A17"/>
    <w:rsid w:val="00564537"/>
    <w:rsid w:val="00564C09"/>
    <w:rsid w:val="00565C6C"/>
    <w:rsid w:val="00565C8D"/>
    <w:rsid w:val="00566045"/>
    <w:rsid w:val="00566344"/>
    <w:rsid w:val="00566A07"/>
    <w:rsid w:val="005678E9"/>
    <w:rsid w:val="005707DA"/>
    <w:rsid w:val="005707E0"/>
    <w:rsid w:val="00570AF9"/>
    <w:rsid w:val="00570C77"/>
    <w:rsid w:val="00570F0B"/>
    <w:rsid w:val="00571F6F"/>
    <w:rsid w:val="00574453"/>
    <w:rsid w:val="00574F6F"/>
    <w:rsid w:val="00574FBF"/>
    <w:rsid w:val="005752B9"/>
    <w:rsid w:val="00575310"/>
    <w:rsid w:val="005757E1"/>
    <w:rsid w:val="0057597E"/>
    <w:rsid w:val="00575DD1"/>
    <w:rsid w:val="0057635C"/>
    <w:rsid w:val="00576384"/>
    <w:rsid w:val="00576F6D"/>
    <w:rsid w:val="00577265"/>
    <w:rsid w:val="0057771D"/>
    <w:rsid w:val="005778DA"/>
    <w:rsid w:val="00577934"/>
    <w:rsid w:val="00580233"/>
    <w:rsid w:val="005809A7"/>
    <w:rsid w:val="00580C7D"/>
    <w:rsid w:val="00580D7D"/>
    <w:rsid w:val="00581447"/>
    <w:rsid w:val="00581492"/>
    <w:rsid w:val="00581781"/>
    <w:rsid w:val="005818FD"/>
    <w:rsid w:val="005826C6"/>
    <w:rsid w:val="005829DA"/>
    <w:rsid w:val="00583783"/>
    <w:rsid w:val="00583A1D"/>
    <w:rsid w:val="00583ADD"/>
    <w:rsid w:val="00584908"/>
    <w:rsid w:val="0058500B"/>
    <w:rsid w:val="00585412"/>
    <w:rsid w:val="00586013"/>
    <w:rsid w:val="00586768"/>
    <w:rsid w:val="00587832"/>
    <w:rsid w:val="00587862"/>
    <w:rsid w:val="0059006F"/>
    <w:rsid w:val="005902CD"/>
    <w:rsid w:val="00590ABB"/>
    <w:rsid w:val="00590ECC"/>
    <w:rsid w:val="005916B2"/>
    <w:rsid w:val="00591863"/>
    <w:rsid w:val="00591D8F"/>
    <w:rsid w:val="00592012"/>
    <w:rsid w:val="005923A9"/>
    <w:rsid w:val="005923CF"/>
    <w:rsid w:val="00592437"/>
    <w:rsid w:val="005928C0"/>
    <w:rsid w:val="005928D1"/>
    <w:rsid w:val="00593915"/>
    <w:rsid w:val="00593924"/>
    <w:rsid w:val="00593A2E"/>
    <w:rsid w:val="00594DFB"/>
    <w:rsid w:val="00595A11"/>
    <w:rsid w:val="00595FEE"/>
    <w:rsid w:val="0059642D"/>
    <w:rsid w:val="005965CA"/>
    <w:rsid w:val="005968C9"/>
    <w:rsid w:val="00596C16"/>
    <w:rsid w:val="005979C4"/>
    <w:rsid w:val="00597C23"/>
    <w:rsid w:val="005A012C"/>
    <w:rsid w:val="005A0401"/>
    <w:rsid w:val="005A092F"/>
    <w:rsid w:val="005A1A4F"/>
    <w:rsid w:val="005A1DEA"/>
    <w:rsid w:val="005A22E8"/>
    <w:rsid w:val="005A268C"/>
    <w:rsid w:val="005A2A69"/>
    <w:rsid w:val="005A3E20"/>
    <w:rsid w:val="005A45C4"/>
    <w:rsid w:val="005A4A57"/>
    <w:rsid w:val="005A4C86"/>
    <w:rsid w:val="005A6826"/>
    <w:rsid w:val="005A6F02"/>
    <w:rsid w:val="005A708F"/>
    <w:rsid w:val="005A7880"/>
    <w:rsid w:val="005B0E23"/>
    <w:rsid w:val="005B1630"/>
    <w:rsid w:val="005B1D11"/>
    <w:rsid w:val="005B262F"/>
    <w:rsid w:val="005B278F"/>
    <w:rsid w:val="005B2A76"/>
    <w:rsid w:val="005B2B62"/>
    <w:rsid w:val="005B2C5D"/>
    <w:rsid w:val="005B341F"/>
    <w:rsid w:val="005B3629"/>
    <w:rsid w:val="005B36B9"/>
    <w:rsid w:val="005B3C1D"/>
    <w:rsid w:val="005B419B"/>
    <w:rsid w:val="005B41A5"/>
    <w:rsid w:val="005B4C55"/>
    <w:rsid w:val="005B53F7"/>
    <w:rsid w:val="005B5C15"/>
    <w:rsid w:val="005B5D88"/>
    <w:rsid w:val="005B61FB"/>
    <w:rsid w:val="005B626E"/>
    <w:rsid w:val="005B6548"/>
    <w:rsid w:val="005B666A"/>
    <w:rsid w:val="005B66B2"/>
    <w:rsid w:val="005B6819"/>
    <w:rsid w:val="005B7517"/>
    <w:rsid w:val="005B7CB5"/>
    <w:rsid w:val="005C02A8"/>
    <w:rsid w:val="005C02EB"/>
    <w:rsid w:val="005C128C"/>
    <w:rsid w:val="005C1D2D"/>
    <w:rsid w:val="005C22AD"/>
    <w:rsid w:val="005C23BC"/>
    <w:rsid w:val="005C24D3"/>
    <w:rsid w:val="005C26D6"/>
    <w:rsid w:val="005C27D5"/>
    <w:rsid w:val="005C352F"/>
    <w:rsid w:val="005C3DD4"/>
    <w:rsid w:val="005C42C9"/>
    <w:rsid w:val="005C437D"/>
    <w:rsid w:val="005C47A7"/>
    <w:rsid w:val="005C4BF7"/>
    <w:rsid w:val="005C5AB9"/>
    <w:rsid w:val="005C5B06"/>
    <w:rsid w:val="005C5BBD"/>
    <w:rsid w:val="005C626D"/>
    <w:rsid w:val="005C6E4A"/>
    <w:rsid w:val="005C6E9A"/>
    <w:rsid w:val="005C7339"/>
    <w:rsid w:val="005C7EEA"/>
    <w:rsid w:val="005D1AF6"/>
    <w:rsid w:val="005D2AD4"/>
    <w:rsid w:val="005D2BAE"/>
    <w:rsid w:val="005D2F19"/>
    <w:rsid w:val="005D35C8"/>
    <w:rsid w:val="005D3764"/>
    <w:rsid w:val="005D50C0"/>
    <w:rsid w:val="005D5744"/>
    <w:rsid w:val="005D5A02"/>
    <w:rsid w:val="005D5A8D"/>
    <w:rsid w:val="005D622E"/>
    <w:rsid w:val="005D6D88"/>
    <w:rsid w:val="005D70BB"/>
    <w:rsid w:val="005D74B0"/>
    <w:rsid w:val="005D7C83"/>
    <w:rsid w:val="005D7C84"/>
    <w:rsid w:val="005D7E2C"/>
    <w:rsid w:val="005E002F"/>
    <w:rsid w:val="005E05FC"/>
    <w:rsid w:val="005E0BB2"/>
    <w:rsid w:val="005E0C2B"/>
    <w:rsid w:val="005E0E25"/>
    <w:rsid w:val="005E1A40"/>
    <w:rsid w:val="005E2906"/>
    <w:rsid w:val="005E29D6"/>
    <w:rsid w:val="005E3E74"/>
    <w:rsid w:val="005E3F65"/>
    <w:rsid w:val="005E43DE"/>
    <w:rsid w:val="005E4A65"/>
    <w:rsid w:val="005E4C47"/>
    <w:rsid w:val="005E4DEE"/>
    <w:rsid w:val="005E4FF4"/>
    <w:rsid w:val="005E53B2"/>
    <w:rsid w:val="005E548E"/>
    <w:rsid w:val="005E58A3"/>
    <w:rsid w:val="005E62BA"/>
    <w:rsid w:val="005E6E8B"/>
    <w:rsid w:val="005E715A"/>
    <w:rsid w:val="005E7982"/>
    <w:rsid w:val="005E7CE0"/>
    <w:rsid w:val="005F070F"/>
    <w:rsid w:val="005F108E"/>
    <w:rsid w:val="005F1307"/>
    <w:rsid w:val="005F1358"/>
    <w:rsid w:val="005F2132"/>
    <w:rsid w:val="005F25F3"/>
    <w:rsid w:val="005F26C3"/>
    <w:rsid w:val="005F2780"/>
    <w:rsid w:val="005F3318"/>
    <w:rsid w:val="005F3684"/>
    <w:rsid w:val="005F4439"/>
    <w:rsid w:val="005F4504"/>
    <w:rsid w:val="005F51AA"/>
    <w:rsid w:val="005F5692"/>
    <w:rsid w:val="005F5F09"/>
    <w:rsid w:val="005F61E6"/>
    <w:rsid w:val="005F64D4"/>
    <w:rsid w:val="005F695C"/>
    <w:rsid w:val="005F6B66"/>
    <w:rsid w:val="005F7533"/>
    <w:rsid w:val="005F7B15"/>
    <w:rsid w:val="005F7BBB"/>
    <w:rsid w:val="00600043"/>
    <w:rsid w:val="00600521"/>
    <w:rsid w:val="00600638"/>
    <w:rsid w:val="00600B95"/>
    <w:rsid w:val="00600E71"/>
    <w:rsid w:val="00601344"/>
    <w:rsid w:val="00601543"/>
    <w:rsid w:val="00601762"/>
    <w:rsid w:val="006025A1"/>
    <w:rsid w:val="00602764"/>
    <w:rsid w:val="006027FF"/>
    <w:rsid w:val="0060297A"/>
    <w:rsid w:val="00602A30"/>
    <w:rsid w:val="0060304A"/>
    <w:rsid w:val="0060347B"/>
    <w:rsid w:val="00603F62"/>
    <w:rsid w:val="006040CA"/>
    <w:rsid w:val="006043E1"/>
    <w:rsid w:val="006043FA"/>
    <w:rsid w:val="00605211"/>
    <w:rsid w:val="0060544A"/>
    <w:rsid w:val="00605776"/>
    <w:rsid w:val="006059C1"/>
    <w:rsid w:val="00605C2D"/>
    <w:rsid w:val="00605F1E"/>
    <w:rsid w:val="00606835"/>
    <w:rsid w:val="0060751B"/>
    <w:rsid w:val="00607720"/>
    <w:rsid w:val="00607B37"/>
    <w:rsid w:val="006107CF"/>
    <w:rsid w:val="006108A1"/>
    <w:rsid w:val="00610A8B"/>
    <w:rsid w:val="00611321"/>
    <w:rsid w:val="006113F3"/>
    <w:rsid w:val="00611BD4"/>
    <w:rsid w:val="00612425"/>
    <w:rsid w:val="00612703"/>
    <w:rsid w:val="00612C47"/>
    <w:rsid w:val="0061318D"/>
    <w:rsid w:val="006136F8"/>
    <w:rsid w:val="00613F6D"/>
    <w:rsid w:val="006142B3"/>
    <w:rsid w:val="006143CC"/>
    <w:rsid w:val="006144D9"/>
    <w:rsid w:val="006149C9"/>
    <w:rsid w:val="00614CC6"/>
    <w:rsid w:val="00615054"/>
    <w:rsid w:val="00615583"/>
    <w:rsid w:val="00615E9A"/>
    <w:rsid w:val="00616AC3"/>
    <w:rsid w:val="00616BB4"/>
    <w:rsid w:val="006173B8"/>
    <w:rsid w:val="00617928"/>
    <w:rsid w:val="00620200"/>
    <w:rsid w:val="00620765"/>
    <w:rsid w:val="00620785"/>
    <w:rsid w:val="006216D4"/>
    <w:rsid w:val="006216D8"/>
    <w:rsid w:val="006224A1"/>
    <w:rsid w:val="0062292B"/>
    <w:rsid w:val="0062296E"/>
    <w:rsid w:val="00623686"/>
    <w:rsid w:val="00623C48"/>
    <w:rsid w:val="006245AA"/>
    <w:rsid w:val="0062470D"/>
    <w:rsid w:val="006256BA"/>
    <w:rsid w:val="00625843"/>
    <w:rsid w:val="006264B0"/>
    <w:rsid w:val="00626E23"/>
    <w:rsid w:val="00630AAF"/>
    <w:rsid w:val="00630C5E"/>
    <w:rsid w:val="00632BE7"/>
    <w:rsid w:val="00633816"/>
    <w:rsid w:val="00633CA0"/>
    <w:rsid w:val="00634794"/>
    <w:rsid w:val="00634CBE"/>
    <w:rsid w:val="00634DBD"/>
    <w:rsid w:val="00635A51"/>
    <w:rsid w:val="00636F7E"/>
    <w:rsid w:val="00637387"/>
    <w:rsid w:val="0064081F"/>
    <w:rsid w:val="00640841"/>
    <w:rsid w:val="006410CB"/>
    <w:rsid w:val="006416D6"/>
    <w:rsid w:val="006426D1"/>
    <w:rsid w:val="00642B7F"/>
    <w:rsid w:val="00643089"/>
    <w:rsid w:val="00643505"/>
    <w:rsid w:val="00644300"/>
    <w:rsid w:val="00644771"/>
    <w:rsid w:val="0064497E"/>
    <w:rsid w:val="006459BC"/>
    <w:rsid w:val="00645CDD"/>
    <w:rsid w:val="00645D53"/>
    <w:rsid w:val="00645D7A"/>
    <w:rsid w:val="0064622B"/>
    <w:rsid w:val="00646964"/>
    <w:rsid w:val="00646BEE"/>
    <w:rsid w:val="006471FB"/>
    <w:rsid w:val="006477FD"/>
    <w:rsid w:val="0065055C"/>
    <w:rsid w:val="00651503"/>
    <w:rsid w:val="006517B7"/>
    <w:rsid w:val="006522A5"/>
    <w:rsid w:val="006525B5"/>
    <w:rsid w:val="006529CD"/>
    <w:rsid w:val="00653481"/>
    <w:rsid w:val="00653C62"/>
    <w:rsid w:val="00654539"/>
    <w:rsid w:val="00655290"/>
    <w:rsid w:val="006552FA"/>
    <w:rsid w:val="006558C7"/>
    <w:rsid w:val="00655947"/>
    <w:rsid w:val="00655D74"/>
    <w:rsid w:val="00656009"/>
    <w:rsid w:val="00656470"/>
    <w:rsid w:val="006570DC"/>
    <w:rsid w:val="006571EB"/>
    <w:rsid w:val="00657425"/>
    <w:rsid w:val="006603B5"/>
    <w:rsid w:val="00660BDF"/>
    <w:rsid w:val="00662484"/>
    <w:rsid w:val="006624B5"/>
    <w:rsid w:val="00662F14"/>
    <w:rsid w:val="0066315F"/>
    <w:rsid w:val="00663920"/>
    <w:rsid w:val="00663B46"/>
    <w:rsid w:val="006640D7"/>
    <w:rsid w:val="006643EF"/>
    <w:rsid w:val="00665197"/>
    <w:rsid w:val="006652EB"/>
    <w:rsid w:val="0066548D"/>
    <w:rsid w:val="00666076"/>
    <w:rsid w:val="006661E0"/>
    <w:rsid w:val="006662B9"/>
    <w:rsid w:val="00666B2C"/>
    <w:rsid w:val="00667089"/>
    <w:rsid w:val="006673FD"/>
    <w:rsid w:val="006675F0"/>
    <w:rsid w:val="00667B18"/>
    <w:rsid w:val="006700C4"/>
    <w:rsid w:val="0067073A"/>
    <w:rsid w:val="00670995"/>
    <w:rsid w:val="00670E94"/>
    <w:rsid w:val="00671AC8"/>
    <w:rsid w:val="00672287"/>
    <w:rsid w:val="00672383"/>
    <w:rsid w:val="006729F7"/>
    <w:rsid w:val="00673016"/>
    <w:rsid w:val="00673252"/>
    <w:rsid w:val="00673426"/>
    <w:rsid w:val="00673FD7"/>
    <w:rsid w:val="00674273"/>
    <w:rsid w:val="006747E9"/>
    <w:rsid w:val="00675262"/>
    <w:rsid w:val="00675B45"/>
    <w:rsid w:val="00675C56"/>
    <w:rsid w:val="00675F8F"/>
    <w:rsid w:val="0067754E"/>
    <w:rsid w:val="0067771A"/>
    <w:rsid w:val="006804C3"/>
    <w:rsid w:val="006805AB"/>
    <w:rsid w:val="006806A3"/>
    <w:rsid w:val="00680BAF"/>
    <w:rsid w:val="00680DD1"/>
    <w:rsid w:val="00680EF4"/>
    <w:rsid w:val="00681369"/>
    <w:rsid w:val="006816EC"/>
    <w:rsid w:val="006835B7"/>
    <w:rsid w:val="0068410D"/>
    <w:rsid w:val="006853B2"/>
    <w:rsid w:val="00685D4F"/>
    <w:rsid w:val="00685EDC"/>
    <w:rsid w:val="00686186"/>
    <w:rsid w:val="00686572"/>
    <w:rsid w:val="00686CCA"/>
    <w:rsid w:val="00687261"/>
    <w:rsid w:val="006872A7"/>
    <w:rsid w:val="00687BAC"/>
    <w:rsid w:val="00687C0C"/>
    <w:rsid w:val="00687C3B"/>
    <w:rsid w:val="00687CE7"/>
    <w:rsid w:val="00690630"/>
    <w:rsid w:val="00690887"/>
    <w:rsid w:val="006909D0"/>
    <w:rsid w:val="00690A67"/>
    <w:rsid w:val="006912EF"/>
    <w:rsid w:val="006917A7"/>
    <w:rsid w:val="00691C44"/>
    <w:rsid w:val="00691CC3"/>
    <w:rsid w:val="00691CD9"/>
    <w:rsid w:val="00692B0D"/>
    <w:rsid w:val="00693148"/>
    <w:rsid w:val="006935EF"/>
    <w:rsid w:val="00693A0F"/>
    <w:rsid w:val="00693F84"/>
    <w:rsid w:val="006944E2"/>
    <w:rsid w:val="006949D1"/>
    <w:rsid w:val="00695220"/>
    <w:rsid w:val="00695B44"/>
    <w:rsid w:val="00696181"/>
    <w:rsid w:val="00696916"/>
    <w:rsid w:val="00696A50"/>
    <w:rsid w:val="00696C1C"/>
    <w:rsid w:val="00696ECF"/>
    <w:rsid w:val="006974F5"/>
    <w:rsid w:val="006976A7"/>
    <w:rsid w:val="00697DF9"/>
    <w:rsid w:val="00697ED1"/>
    <w:rsid w:val="006A0177"/>
    <w:rsid w:val="006A0E8D"/>
    <w:rsid w:val="006A1265"/>
    <w:rsid w:val="006A1B9A"/>
    <w:rsid w:val="006A2619"/>
    <w:rsid w:val="006A277C"/>
    <w:rsid w:val="006A2FB1"/>
    <w:rsid w:val="006A3846"/>
    <w:rsid w:val="006A3F0B"/>
    <w:rsid w:val="006A594A"/>
    <w:rsid w:val="006A5B41"/>
    <w:rsid w:val="006A5BF6"/>
    <w:rsid w:val="006A63E7"/>
    <w:rsid w:val="006A67CE"/>
    <w:rsid w:val="006A68CB"/>
    <w:rsid w:val="006A792D"/>
    <w:rsid w:val="006A7AC4"/>
    <w:rsid w:val="006B0A00"/>
    <w:rsid w:val="006B0EBE"/>
    <w:rsid w:val="006B1B29"/>
    <w:rsid w:val="006B244A"/>
    <w:rsid w:val="006B264D"/>
    <w:rsid w:val="006B3417"/>
    <w:rsid w:val="006B389F"/>
    <w:rsid w:val="006B413A"/>
    <w:rsid w:val="006B42C5"/>
    <w:rsid w:val="006B4408"/>
    <w:rsid w:val="006B484D"/>
    <w:rsid w:val="006B5199"/>
    <w:rsid w:val="006B58C9"/>
    <w:rsid w:val="006B5A16"/>
    <w:rsid w:val="006B5D3A"/>
    <w:rsid w:val="006B5D59"/>
    <w:rsid w:val="006B6AF8"/>
    <w:rsid w:val="006B7305"/>
    <w:rsid w:val="006B7D6C"/>
    <w:rsid w:val="006B7DE5"/>
    <w:rsid w:val="006C0050"/>
    <w:rsid w:val="006C017B"/>
    <w:rsid w:val="006C02AA"/>
    <w:rsid w:val="006C0428"/>
    <w:rsid w:val="006C0617"/>
    <w:rsid w:val="006C0A0D"/>
    <w:rsid w:val="006C0B26"/>
    <w:rsid w:val="006C0BD4"/>
    <w:rsid w:val="006C0C91"/>
    <w:rsid w:val="006C17E1"/>
    <w:rsid w:val="006C20E2"/>
    <w:rsid w:val="006C22CB"/>
    <w:rsid w:val="006C2668"/>
    <w:rsid w:val="006C2CFC"/>
    <w:rsid w:val="006C311C"/>
    <w:rsid w:val="006C35A7"/>
    <w:rsid w:val="006C3C73"/>
    <w:rsid w:val="006C5248"/>
    <w:rsid w:val="006C55F6"/>
    <w:rsid w:val="006C5FEC"/>
    <w:rsid w:val="006C708C"/>
    <w:rsid w:val="006D000D"/>
    <w:rsid w:val="006D0D5B"/>
    <w:rsid w:val="006D20B2"/>
    <w:rsid w:val="006D22B4"/>
    <w:rsid w:val="006D2BC4"/>
    <w:rsid w:val="006D30A5"/>
    <w:rsid w:val="006D33C7"/>
    <w:rsid w:val="006D34FF"/>
    <w:rsid w:val="006D3E12"/>
    <w:rsid w:val="006D41BC"/>
    <w:rsid w:val="006D5DCD"/>
    <w:rsid w:val="006D6079"/>
    <w:rsid w:val="006D6164"/>
    <w:rsid w:val="006D6492"/>
    <w:rsid w:val="006D67B3"/>
    <w:rsid w:val="006D67DE"/>
    <w:rsid w:val="006D6D7B"/>
    <w:rsid w:val="006D6FC7"/>
    <w:rsid w:val="006D7C4A"/>
    <w:rsid w:val="006D7E2B"/>
    <w:rsid w:val="006E120C"/>
    <w:rsid w:val="006E142F"/>
    <w:rsid w:val="006E174A"/>
    <w:rsid w:val="006E1A47"/>
    <w:rsid w:val="006E1BA0"/>
    <w:rsid w:val="006E22D2"/>
    <w:rsid w:val="006E263D"/>
    <w:rsid w:val="006E2ADC"/>
    <w:rsid w:val="006E2CC5"/>
    <w:rsid w:val="006E2DB9"/>
    <w:rsid w:val="006E337F"/>
    <w:rsid w:val="006E3E21"/>
    <w:rsid w:val="006E3E8D"/>
    <w:rsid w:val="006E4F16"/>
    <w:rsid w:val="006E53AD"/>
    <w:rsid w:val="006E6198"/>
    <w:rsid w:val="006E67CD"/>
    <w:rsid w:val="006E726D"/>
    <w:rsid w:val="006E7C1B"/>
    <w:rsid w:val="006E7E8E"/>
    <w:rsid w:val="006F0454"/>
    <w:rsid w:val="006F0689"/>
    <w:rsid w:val="006F0D0C"/>
    <w:rsid w:val="006F103E"/>
    <w:rsid w:val="006F1433"/>
    <w:rsid w:val="006F14BC"/>
    <w:rsid w:val="006F2330"/>
    <w:rsid w:val="006F2526"/>
    <w:rsid w:val="006F26B3"/>
    <w:rsid w:val="006F2DAC"/>
    <w:rsid w:val="006F31A8"/>
    <w:rsid w:val="006F34C7"/>
    <w:rsid w:val="006F379B"/>
    <w:rsid w:val="006F3CE4"/>
    <w:rsid w:val="006F3E3E"/>
    <w:rsid w:val="006F474F"/>
    <w:rsid w:val="006F480E"/>
    <w:rsid w:val="006F5E65"/>
    <w:rsid w:val="006F604F"/>
    <w:rsid w:val="006F663C"/>
    <w:rsid w:val="006F66BE"/>
    <w:rsid w:val="0070098F"/>
    <w:rsid w:val="00701C7A"/>
    <w:rsid w:val="00702676"/>
    <w:rsid w:val="00703756"/>
    <w:rsid w:val="007038D1"/>
    <w:rsid w:val="00703CFE"/>
    <w:rsid w:val="00703D4F"/>
    <w:rsid w:val="007043DC"/>
    <w:rsid w:val="007048D6"/>
    <w:rsid w:val="00704E02"/>
    <w:rsid w:val="0070505A"/>
    <w:rsid w:val="0070519D"/>
    <w:rsid w:val="007051ED"/>
    <w:rsid w:val="00705777"/>
    <w:rsid w:val="00705A63"/>
    <w:rsid w:val="00705C72"/>
    <w:rsid w:val="00706298"/>
    <w:rsid w:val="00706E2E"/>
    <w:rsid w:val="00707141"/>
    <w:rsid w:val="00707268"/>
    <w:rsid w:val="007072B6"/>
    <w:rsid w:val="007073AA"/>
    <w:rsid w:val="00707C6A"/>
    <w:rsid w:val="00707D32"/>
    <w:rsid w:val="00710099"/>
    <w:rsid w:val="00710B1F"/>
    <w:rsid w:val="007116A0"/>
    <w:rsid w:val="007121BC"/>
    <w:rsid w:val="00712395"/>
    <w:rsid w:val="007123DF"/>
    <w:rsid w:val="007125AD"/>
    <w:rsid w:val="00712D18"/>
    <w:rsid w:val="00713279"/>
    <w:rsid w:val="007132CD"/>
    <w:rsid w:val="007135A5"/>
    <w:rsid w:val="007144B8"/>
    <w:rsid w:val="0071647D"/>
    <w:rsid w:val="007167C4"/>
    <w:rsid w:val="0071704D"/>
    <w:rsid w:val="00717C5C"/>
    <w:rsid w:val="00717E91"/>
    <w:rsid w:val="00720A35"/>
    <w:rsid w:val="00720B9C"/>
    <w:rsid w:val="00720D36"/>
    <w:rsid w:val="00722524"/>
    <w:rsid w:val="0072374C"/>
    <w:rsid w:val="00723FFA"/>
    <w:rsid w:val="00724EF4"/>
    <w:rsid w:val="007251E8"/>
    <w:rsid w:val="007255A9"/>
    <w:rsid w:val="007255B4"/>
    <w:rsid w:val="007261B1"/>
    <w:rsid w:val="007264FE"/>
    <w:rsid w:val="00727213"/>
    <w:rsid w:val="00727AB2"/>
    <w:rsid w:val="00727BDB"/>
    <w:rsid w:val="00727C2C"/>
    <w:rsid w:val="00727EC4"/>
    <w:rsid w:val="00727F1B"/>
    <w:rsid w:val="007305F0"/>
    <w:rsid w:val="00730881"/>
    <w:rsid w:val="00730A62"/>
    <w:rsid w:val="00731C94"/>
    <w:rsid w:val="00731E4B"/>
    <w:rsid w:val="00732116"/>
    <w:rsid w:val="00732E19"/>
    <w:rsid w:val="00733610"/>
    <w:rsid w:val="00733795"/>
    <w:rsid w:val="00733D27"/>
    <w:rsid w:val="007347EE"/>
    <w:rsid w:val="00734CC4"/>
    <w:rsid w:val="00735FC8"/>
    <w:rsid w:val="0073603A"/>
    <w:rsid w:val="007360DC"/>
    <w:rsid w:val="00736253"/>
    <w:rsid w:val="00736922"/>
    <w:rsid w:val="0073699E"/>
    <w:rsid w:val="00736A1B"/>
    <w:rsid w:val="00737559"/>
    <w:rsid w:val="007375AB"/>
    <w:rsid w:val="00737C4E"/>
    <w:rsid w:val="00737C7A"/>
    <w:rsid w:val="0074007F"/>
    <w:rsid w:val="00740AE3"/>
    <w:rsid w:val="00741578"/>
    <w:rsid w:val="007418BF"/>
    <w:rsid w:val="00741C1E"/>
    <w:rsid w:val="00741D39"/>
    <w:rsid w:val="007427E9"/>
    <w:rsid w:val="0074307E"/>
    <w:rsid w:val="00743770"/>
    <w:rsid w:val="00743D8D"/>
    <w:rsid w:val="007441E9"/>
    <w:rsid w:val="00744231"/>
    <w:rsid w:val="0074424F"/>
    <w:rsid w:val="00744549"/>
    <w:rsid w:val="00744D43"/>
    <w:rsid w:val="00744F13"/>
    <w:rsid w:val="00745313"/>
    <w:rsid w:val="007454FB"/>
    <w:rsid w:val="007459C3"/>
    <w:rsid w:val="0074683F"/>
    <w:rsid w:val="007468C8"/>
    <w:rsid w:val="007471B8"/>
    <w:rsid w:val="007472CD"/>
    <w:rsid w:val="0074775E"/>
    <w:rsid w:val="007505F8"/>
    <w:rsid w:val="0075081A"/>
    <w:rsid w:val="00750A01"/>
    <w:rsid w:val="007510CD"/>
    <w:rsid w:val="00751831"/>
    <w:rsid w:val="007526C0"/>
    <w:rsid w:val="00752D5E"/>
    <w:rsid w:val="007530D2"/>
    <w:rsid w:val="00753117"/>
    <w:rsid w:val="00753FE2"/>
    <w:rsid w:val="00754295"/>
    <w:rsid w:val="00754533"/>
    <w:rsid w:val="0075458D"/>
    <w:rsid w:val="007547F9"/>
    <w:rsid w:val="00754FA6"/>
    <w:rsid w:val="007557A4"/>
    <w:rsid w:val="0075663E"/>
    <w:rsid w:val="007572EF"/>
    <w:rsid w:val="0075749E"/>
    <w:rsid w:val="00757538"/>
    <w:rsid w:val="00757835"/>
    <w:rsid w:val="00760494"/>
    <w:rsid w:val="00760800"/>
    <w:rsid w:val="00760E3E"/>
    <w:rsid w:val="00760F03"/>
    <w:rsid w:val="00760F73"/>
    <w:rsid w:val="0076113B"/>
    <w:rsid w:val="00761638"/>
    <w:rsid w:val="007616BE"/>
    <w:rsid w:val="00761B20"/>
    <w:rsid w:val="00761CC0"/>
    <w:rsid w:val="00762C96"/>
    <w:rsid w:val="00763363"/>
    <w:rsid w:val="00763888"/>
    <w:rsid w:val="00763A3F"/>
    <w:rsid w:val="00763B28"/>
    <w:rsid w:val="0076451A"/>
    <w:rsid w:val="00764540"/>
    <w:rsid w:val="007647EB"/>
    <w:rsid w:val="00764AB6"/>
    <w:rsid w:val="00764B2B"/>
    <w:rsid w:val="00764B4A"/>
    <w:rsid w:val="00765311"/>
    <w:rsid w:val="007657EB"/>
    <w:rsid w:val="007664D5"/>
    <w:rsid w:val="0076677B"/>
    <w:rsid w:val="007671EC"/>
    <w:rsid w:val="00767D7F"/>
    <w:rsid w:val="00767DD3"/>
    <w:rsid w:val="007700B2"/>
    <w:rsid w:val="007706FE"/>
    <w:rsid w:val="0077110E"/>
    <w:rsid w:val="0077272F"/>
    <w:rsid w:val="007737FC"/>
    <w:rsid w:val="00773995"/>
    <w:rsid w:val="00773B56"/>
    <w:rsid w:val="00773F45"/>
    <w:rsid w:val="00774322"/>
    <w:rsid w:val="00774CE7"/>
    <w:rsid w:val="00774F88"/>
    <w:rsid w:val="00775734"/>
    <w:rsid w:val="00775C07"/>
    <w:rsid w:val="00775CD3"/>
    <w:rsid w:val="00775DF7"/>
    <w:rsid w:val="007765BB"/>
    <w:rsid w:val="0077760C"/>
    <w:rsid w:val="007809DB"/>
    <w:rsid w:val="00780A8E"/>
    <w:rsid w:val="00780DA6"/>
    <w:rsid w:val="00780FA0"/>
    <w:rsid w:val="00781389"/>
    <w:rsid w:val="00781712"/>
    <w:rsid w:val="007818B7"/>
    <w:rsid w:val="0078194B"/>
    <w:rsid w:val="0078207B"/>
    <w:rsid w:val="00782479"/>
    <w:rsid w:val="007827F9"/>
    <w:rsid w:val="00783F4D"/>
    <w:rsid w:val="007844D1"/>
    <w:rsid w:val="007846D4"/>
    <w:rsid w:val="00784943"/>
    <w:rsid w:val="007849DE"/>
    <w:rsid w:val="00784E85"/>
    <w:rsid w:val="007854C1"/>
    <w:rsid w:val="00785F2B"/>
    <w:rsid w:val="007861B5"/>
    <w:rsid w:val="007862C8"/>
    <w:rsid w:val="00786FB1"/>
    <w:rsid w:val="007874C9"/>
    <w:rsid w:val="00790205"/>
    <w:rsid w:val="00791713"/>
    <w:rsid w:val="007917FA"/>
    <w:rsid w:val="00791A7D"/>
    <w:rsid w:val="007920AE"/>
    <w:rsid w:val="007922E0"/>
    <w:rsid w:val="007928B9"/>
    <w:rsid w:val="007929F5"/>
    <w:rsid w:val="00792D12"/>
    <w:rsid w:val="00792D5E"/>
    <w:rsid w:val="007937D0"/>
    <w:rsid w:val="00793ACB"/>
    <w:rsid w:val="00793C63"/>
    <w:rsid w:val="00793FD5"/>
    <w:rsid w:val="007942C5"/>
    <w:rsid w:val="00794782"/>
    <w:rsid w:val="00794886"/>
    <w:rsid w:val="00795224"/>
    <w:rsid w:val="0079525F"/>
    <w:rsid w:val="007954B6"/>
    <w:rsid w:val="00795739"/>
    <w:rsid w:val="00795F77"/>
    <w:rsid w:val="00796019"/>
    <w:rsid w:val="00796141"/>
    <w:rsid w:val="00796B32"/>
    <w:rsid w:val="007976B8"/>
    <w:rsid w:val="00797FE8"/>
    <w:rsid w:val="007A02EE"/>
    <w:rsid w:val="007A0897"/>
    <w:rsid w:val="007A0AD1"/>
    <w:rsid w:val="007A14EA"/>
    <w:rsid w:val="007A1728"/>
    <w:rsid w:val="007A1DA8"/>
    <w:rsid w:val="007A44E4"/>
    <w:rsid w:val="007A45AF"/>
    <w:rsid w:val="007A4C20"/>
    <w:rsid w:val="007A5228"/>
    <w:rsid w:val="007A5904"/>
    <w:rsid w:val="007A679E"/>
    <w:rsid w:val="007A6C31"/>
    <w:rsid w:val="007A6D08"/>
    <w:rsid w:val="007A7375"/>
    <w:rsid w:val="007A7746"/>
    <w:rsid w:val="007A7D16"/>
    <w:rsid w:val="007B07B3"/>
    <w:rsid w:val="007B09E5"/>
    <w:rsid w:val="007B0A63"/>
    <w:rsid w:val="007B1F21"/>
    <w:rsid w:val="007B26C2"/>
    <w:rsid w:val="007B2743"/>
    <w:rsid w:val="007B2EF2"/>
    <w:rsid w:val="007B30C6"/>
    <w:rsid w:val="007B3492"/>
    <w:rsid w:val="007B48E2"/>
    <w:rsid w:val="007B526C"/>
    <w:rsid w:val="007B5A11"/>
    <w:rsid w:val="007B6B3D"/>
    <w:rsid w:val="007B772E"/>
    <w:rsid w:val="007B7B65"/>
    <w:rsid w:val="007B7C92"/>
    <w:rsid w:val="007B7FA7"/>
    <w:rsid w:val="007C03AC"/>
    <w:rsid w:val="007C1280"/>
    <w:rsid w:val="007C15D6"/>
    <w:rsid w:val="007C1953"/>
    <w:rsid w:val="007C1D25"/>
    <w:rsid w:val="007C1DE6"/>
    <w:rsid w:val="007C1EA1"/>
    <w:rsid w:val="007C2234"/>
    <w:rsid w:val="007C3001"/>
    <w:rsid w:val="007C3639"/>
    <w:rsid w:val="007C3ED1"/>
    <w:rsid w:val="007C4BF9"/>
    <w:rsid w:val="007C4D5D"/>
    <w:rsid w:val="007C54FA"/>
    <w:rsid w:val="007C5522"/>
    <w:rsid w:val="007C57F4"/>
    <w:rsid w:val="007C58BA"/>
    <w:rsid w:val="007C592A"/>
    <w:rsid w:val="007C5A0B"/>
    <w:rsid w:val="007C5AAA"/>
    <w:rsid w:val="007C5B63"/>
    <w:rsid w:val="007C5C5C"/>
    <w:rsid w:val="007C5DBE"/>
    <w:rsid w:val="007C5E0A"/>
    <w:rsid w:val="007C7048"/>
    <w:rsid w:val="007C7191"/>
    <w:rsid w:val="007C76FE"/>
    <w:rsid w:val="007C79B0"/>
    <w:rsid w:val="007C7C34"/>
    <w:rsid w:val="007D0BB9"/>
    <w:rsid w:val="007D0C47"/>
    <w:rsid w:val="007D0F1F"/>
    <w:rsid w:val="007D158C"/>
    <w:rsid w:val="007D1725"/>
    <w:rsid w:val="007D1B72"/>
    <w:rsid w:val="007D2A5E"/>
    <w:rsid w:val="007D393F"/>
    <w:rsid w:val="007D4CDA"/>
    <w:rsid w:val="007D5577"/>
    <w:rsid w:val="007D5771"/>
    <w:rsid w:val="007D5A79"/>
    <w:rsid w:val="007D5BD2"/>
    <w:rsid w:val="007D6194"/>
    <w:rsid w:val="007D64D9"/>
    <w:rsid w:val="007D66B7"/>
    <w:rsid w:val="007D6B16"/>
    <w:rsid w:val="007D6EDA"/>
    <w:rsid w:val="007D7028"/>
    <w:rsid w:val="007D72EB"/>
    <w:rsid w:val="007D73D1"/>
    <w:rsid w:val="007D75AF"/>
    <w:rsid w:val="007D7A1A"/>
    <w:rsid w:val="007D7D16"/>
    <w:rsid w:val="007E010A"/>
    <w:rsid w:val="007E0223"/>
    <w:rsid w:val="007E05DE"/>
    <w:rsid w:val="007E0729"/>
    <w:rsid w:val="007E09EF"/>
    <w:rsid w:val="007E0B35"/>
    <w:rsid w:val="007E0B3A"/>
    <w:rsid w:val="007E0B55"/>
    <w:rsid w:val="007E0B9E"/>
    <w:rsid w:val="007E10FD"/>
    <w:rsid w:val="007E167E"/>
    <w:rsid w:val="007E1789"/>
    <w:rsid w:val="007E1A7E"/>
    <w:rsid w:val="007E1B0B"/>
    <w:rsid w:val="007E1E75"/>
    <w:rsid w:val="007E1E77"/>
    <w:rsid w:val="007E2F72"/>
    <w:rsid w:val="007E3A81"/>
    <w:rsid w:val="007E3B60"/>
    <w:rsid w:val="007E4A85"/>
    <w:rsid w:val="007E5554"/>
    <w:rsid w:val="007E5736"/>
    <w:rsid w:val="007E5C74"/>
    <w:rsid w:val="007E6769"/>
    <w:rsid w:val="007E6CE3"/>
    <w:rsid w:val="007E6DCA"/>
    <w:rsid w:val="007E6FAF"/>
    <w:rsid w:val="007E73B6"/>
    <w:rsid w:val="007E7838"/>
    <w:rsid w:val="007E7A6D"/>
    <w:rsid w:val="007E7B50"/>
    <w:rsid w:val="007F0796"/>
    <w:rsid w:val="007F080F"/>
    <w:rsid w:val="007F0C58"/>
    <w:rsid w:val="007F1B90"/>
    <w:rsid w:val="007F1CA7"/>
    <w:rsid w:val="007F1EDB"/>
    <w:rsid w:val="007F23CB"/>
    <w:rsid w:val="007F34B8"/>
    <w:rsid w:val="007F3C7B"/>
    <w:rsid w:val="007F3F58"/>
    <w:rsid w:val="007F4231"/>
    <w:rsid w:val="007F43FB"/>
    <w:rsid w:val="007F4714"/>
    <w:rsid w:val="007F479F"/>
    <w:rsid w:val="007F48EF"/>
    <w:rsid w:val="007F4A2A"/>
    <w:rsid w:val="007F4E5E"/>
    <w:rsid w:val="007F53A1"/>
    <w:rsid w:val="007F5E38"/>
    <w:rsid w:val="007F5EC5"/>
    <w:rsid w:val="007F6899"/>
    <w:rsid w:val="007F78F8"/>
    <w:rsid w:val="008001DA"/>
    <w:rsid w:val="00800B06"/>
    <w:rsid w:val="00800DEC"/>
    <w:rsid w:val="008019A9"/>
    <w:rsid w:val="0080260C"/>
    <w:rsid w:val="00802818"/>
    <w:rsid w:val="00802D77"/>
    <w:rsid w:val="00803207"/>
    <w:rsid w:val="00803755"/>
    <w:rsid w:val="00803D31"/>
    <w:rsid w:val="0080428D"/>
    <w:rsid w:val="00805482"/>
    <w:rsid w:val="0080567E"/>
    <w:rsid w:val="00806841"/>
    <w:rsid w:val="0080712B"/>
    <w:rsid w:val="00807130"/>
    <w:rsid w:val="00807401"/>
    <w:rsid w:val="00807BFB"/>
    <w:rsid w:val="00807E22"/>
    <w:rsid w:val="0081061E"/>
    <w:rsid w:val="0081142C"/>
    <w:rsid w:val="00811622"/>
    <w:rsid w:val="0081178A"/>
    <w:rsid w:val="00811835"/>
    <w:rsid w:val="0081214C"/>
    <w:rsid w:val="008121B0"/>
    <w:rsid w:val="00812262"/>
    <w:rsid w:val="00812476"/>
    <w:rsid w:val="00812BAF"/>
    <w:rsid w:val="00812BB2"/>
    <w:rsid w:val="00812D0C"/>
    <w:rsid w:val="00813269"/>
    <w:rsid w:val="008134B3"/>
    <w:rsid w:val="00813A20"/>
    <w:rsid w:val="0081432E"/>
    <w:rsid w:val="00814967"/>
    <w:rsid w:val="00814D92"/>
    <w:rsid w:val="008154BF"/>
    <w:rsid w:val="00815A10"/>
    <w:rsid w:val="00816182"/>
    <w:rsid w:val="008161DB"/>
    <w:rsid w:val="0081686A"/>
    <w:rsid w:val="0081696E"/>
    <w:rsid w:val="00816DE1"/>
    <w:rsid w:val="00817193"/>
    <w:rsid w:val="00817F7C"/>
    <w:rsid w:val="008202C1"/>
    <w:rsid w:val="00820388"/>
    <w:rsid w:val="008205B7"/>
    <w:rsid w:val="00820813"/>
    <w:rsid w:val="00820A05"/>
    <w:rsid w:val="00820A9D"/>
    <w:rsid w:val="00820E09"/>
    <w:rsid w:val="00821B46"/>
    <w:rsid w:val="00821CCE"/>
    <w:rsid w:val="0082209E"/>
    <w:rsid w:val="008222B6"/>
    <w:rsid w:val="008223F9"/>
    <w:rsid w:val="00822614"/>
    <w:rsid w:val="00823208"/>
    <w:rsid w:val="0082328B"/>
    <w:rsid w:val="00823313"/>
    <w:rsid w:val="008233C9"/>
    <w:rsid w:val="0082355C"/>
    <w:rsid w:val="00823B06"/>
    <w:rsid w:val="00823C7C"/>
    <w:rsid w:val="00823DCD"/>
    <w:rsid w:val="00823E32"/>
    <w:rsid w:val="00824649"/>
    <w:rsid w:val="00824B92"/>
    <w:rsid w:val="00825457"/>
    <w:rsid w:val="00825F76"/>
    <w:rsid w:val="00826269"/>
    <w:rsid w:val="00826CA0"/>
    <w:rsid w:val="00826F93"/>
    <w:rsid w:val="008274C1"/>
    <w:rsid w:val="00827B0E"/>
    <w:rsid w:val="00830726"/>
    <w:rsid w:val="00831DB0"/>
    <w:rsid w:val="00831E26"/>
    <w:rsid w:val="008321CA"/>
    <w:rsid w:val="0083272C"/>
    <w:rsid w:val="00832A2D"/>
    <w:rsid w:val="00832BFD"/>
    <w:rsid w:val="00832D27"/>
    <w:rsid w:val="00833825"/>
    <w:rsid w:val="00833C7E"/>
    <w:rsid w:val="00833E3E"/>
    <w:rsid w:val="008344D9"/>
    <w:rsid w:val="008348A4"/>
    <w:rsid w:val="0083710F"/>
    <w:rsid w:val="00837203"/>
    <w:rsid w:val="008373B7"/>
    <w:rsid w:val="0083747A"/>
    <w:rsid w:val="00837600"/>
    <w:rsid w:val="008376B4"/>
    <w:rsid w:val="00840159"/>
    <w:rsid w:val="00840501"/>
    <w:rsid w:val="00841775"/>
    <w:rsid w:val="00842268"/>
    <w:rsid w:val="00842303"/>
    <w:rsid w:val="00842A68"/>
    <w:rsid w:val="0084320C"/>
    <w:rsid w:val="00843DEA"/>
    <w:rsid w:val="00844937"/>
    <w:rsid w:val="008451C6"/>
    <w:rsid w:val="008457CE"/>
    <w:rsid w:val="00845919"/>
    <w:rsid w:val="0084698D"/>
    <w:rsid w:val="00846B39"/>
    <w:rsid w:val="00846DAD"/>
    <w:rsid w:val="00847740"/>
    <w:rsid w:val="00847B53"/>
    <w:rsid w:val="008506E4"/>
    <w:rsid w:val="00850717"/>
    <w:rsid w:val="00851041"/>
    <w:rsid w:val="0085182F"/>
    <w:rsid w:val="00851B38"/>
    <w:rsid w:val="00852093"/>
    <w:rsid w:val="00852C22"/>
    <w:rsid w:val="00853415"/>
    <w:rsid w:val="00854059"/>
    <w:rsid w:val="00854600"/>
    <w:rsid w:val="00854A59"/>
    <w:rsid w:val="00854B26"/>
    <w:rsid w:val="00854B7F"/>
    <w:rsid w:val="00855549"/>
    <w:rsid w:val="0085596A"/>
    <w:rsid w:val="00855E0F"/>
    <w:rsid w:val="0085772B"/>
    <w:rsid w:val="00857A9D"/>
    <w:rsid w:val="00857BDF"/>
    <w:rsid w:val="008605E5"/>
    <w:rsid w:val="00861471"/>
    <w:rsid w:val="00862277"/>
    <w:rsid w:val="008623D4"/>
    <w:rsid w:val="00862420"/>
    <w:rsid w:val="0086253D"/>
    <w:rsid w:val="00862CA4"/>
    <w:rsid w:val="0086382C"/>
    <w:rsid w:val="00863874"/>
    <w:rsid w:val="008638FD"/>
    <w:rsid w:val="00863E4B"/>
    <w:rsid w:val="008642BC"/>
    <w:rsid w:val="00864413"/>
    <w:rsid w:val="008649FE"/>
    <w:rsid w:val="00866F19"/>
    <w:rsid w:val="0086723D"/>
    <w:rsid w:val="008676C6"/>
    <w:rsid w:val="00867BDC"/>
    <w:rsid w:val="008703FC"/>
    <w:rsid w:val="00870803"/>
    <w:rsid w:val="00870D4E"/>
    <w:rsid w:val="00871B93"/>
    <w:rsid w:val="008727C3"/>
    <w:rsid w:val="008739E6"/>
    <w:rsid w:val="00873C89"/>
    <w:rsid w:val="0087417E"/>
    <w:rsid w:val="0087487D"/>
    <w:rsid w:val="00874AB2"/>
    <w:rsid w:val="008758D7"/>
    <w:rsid w:val="00875A61"/>
    <w:rsid w:val="00875B02"/>
    <w:rsid w:val="00875B7E"/>
    <w:rsid w:val="00876204"/>
    <w:rsid w:val="008765B7"/>
    <w:rsid w:val="00876763"/>
    <w:rsid w:val="00876EA4"/>
    <w:rsid w:val="00876FC7"/>
    <w:rsid w:val="008773B5"/>
    <w:rsid w:val="00877BCE"/>
    <w:rsid w:val="00880863"/>
    <w:rsid w:val="00880BE3"/>
    <w:rsid w:val="00880DCA"/>
    <w:rsid w:val="00881615"/>
    <w:rsid w:val="00881B29"/>
    <w:rsid w:val="00882265"/>
    <w:rsid w:val="00882A05"/>
    <w:rsid w:val="00883199"/>
    <w:rsid w:val="008833A3"/>
    <w:rsid w:val="00883B4B"/>
    <w:rsid w:val="00884414"/>
    <w:rsid w:val="00885E97"/>
    <w:rsid w:val="00886472"/>
    <w:rsid w:val="008865A3"/>
    <w:rsid w:val="008866AD"/>
    <w:rsid w:val="00886A8D"/>
    <w:rsid w:val="00886BD4"/>
    <w:rsid w:val="008877E4"/>
    <w:rsid w:val="00887A0E"/>
    <w:rsid w:val="00887A4C"/>
    <w:rsid w:val="0089027D"/>
    <w:rsid w:val="008911CF"/>
    <w:rsid w:val="00891EBA"/>
    <w:rsid w:val="00892715"/>
    <w:rsid w:val="0089272E"/>
    <w:rsid w:val="00892851"/>
    <w:rsid w:val="00892CE1"/>
    <w:rsid w:val="00893187"/>
    <w:rsid w:val="00893601"/>
    <w:rsid w:val="00893D6B"/>
    <w:rsid w:val="00896129"/>
    <w:rsid w:val="00896375"/>
    <w:rsid w:val="0089667B"/>
    <w:rsid w:val="00897019"/>
    <w:rsid w:val="00897E52"/>
    <w:rsid w:val="008A0892"/>
    <w:rsid w:val="008A09AE"/>
    <w:rsid w:val="008A12FF"/>
    <w:rsid w:val="008A146C"/>
    <w:rsid w:val="008A1D56"/>
    <w:rsid w:val="008A1E1D"/>
    <w:rsid w:val="008A2C6F"/>
    <w:rsid w:val="008A2F74"/>
    <w:rsid w:val="008A32EE"/>
    <w:rsid w:val="008A581A"/>
    <w:rsid w:val="008A6C35"/>
    <w:rsid w:val="008A6C5F"/>
    <w:rsid w:val="008A7941"/>
    <w:rsid w:val="008B00FF"/>
    <w:rsid w:val="008B0471"/>
    <w:rsid w:val="008B0C35"/>
    <w:rsid w:val="008B1731"/>
    <w:rsid w:val="008B18F4"/>
    <w:rsid w:val="008B1CCA"/>
    <w:rsid w:val="008B25AF"/>
    <w:rsid w:val="008B276F"/>
    <w:rsid w:val="008B3721"/>
    <w:rsid w:val="008B3EF0"/>
    <w:rsid w:val="008B47CE"/>
    <w:rsid w:val="008B48F3"/>
    <w:rsid w:val="008B507B"/>
    <w:rsid w:val="008B5893"/>
    <w:rsid w:val="008B5E9C"/>
    <w:rsid w:val="008B6116"/>
    <w:rsid w:val="008B649F"/>
    <w:rsid w:val="008B69C3"/>
    <w:rsid w:val="008B6B9A"/>
    <w:rsid w:val="008B6EBD"/>
    <w:rsid w:val="008B74BE"/>
    <w:rsid w:val="008B7832"/>
    <w:rsid w:val="008B7EDE"/>
    <w:rsid w:val="008B7F15"/>
    <w:rsid w:val="008C00AB"/>
    <w:rsid w:val="008C031E"/>
    <w:rsid w:val="008C06C6"/>
    <w:rsid w:val="008C071B"/>
    <w:rsid w:val="008C125C"/>
    <w:rsid w:val="008C199A"/>
    <w:rsid w:val="008C3272"/>
    <w:rsid w:val="008C3348"/>
    <w:rsid w:val="008C3EC6"/>
    <w:rsid w:val="008C4354"/>
    <w:rsid w:val="008C4C2C"/>
    <w:rsid w:val="008C54BA"/>
    <w:rsid w:val="008C5591"/>
    <w:rsid w:val="008C5887"/>
    <w:rsid w:val="008C590D"/>
    <w:rsid w:val="008C5A79"/>
    <w:rsid w:val="008C5E42"/>
    <w:rsid w:val="008C687B"/>
    <w:rsid w:val="008C75F3"/>
    <w:rsid w:val="008D0193"/>
    <w:rsid w:val="008D02A8"/>
    <w:rsid w:val="008D0910"/>
    <w:rsid w:val="008D1482"/>
    <w:rsid w:val="008D1AF6"/>
    <w:rsid w:val="008D23FD"/>
    <w:rsid w:val="008D3BBD"/>
    <w:rsid w:val="008D4389"/>
    <w:rsid w:val="008D5B85"/>
    <w:rsid w:val="008D5C65"/>
    <w:rsid w:val="008D653D"/>
    <w:rsid w:val="008D755B"/>
    <w:rsid w:val="008D7621"/>
    <w:rsid w:val="008D7AFB"/>
    <w:rsid w:val="008E1638"/>
    <w:rsid w:val="008E1A6B"/>
    <w:rsid w:val="008E2200"/>
    <w:rsid w:val="008E2C2F"/>
    <w:rsid w:val="008E3400"/>
    <w:rsid w:val="008E369A"/>
    <w:rsid w:val="008E3857"/>
    <w:rsid w:val="008E3EBE"/>
    <w:rsid w:val="008E40EE"/>
    <w:rsid w:val="008E4C15"/>
    <w:rsid w:val="008E4E7B"/>
    <w:rsid w:val="008E5110"/>
    <w:rsid w:val="008E655C"/>
    <w:rsid w:val="008E6910"/>
    <w:rsid w:val="008E7358"/>
    <w:rsid w:val="008E7B6E"/>
    <w:rsid w:val="008F07FE"/>
    <w:rsid w:val="008F0906"/>
    <w:rsid w:val="008F10AF"/>
    <w:rsid w:val="008F10C9"/>
    <w:rsid w:val="008F12F3"/>
    <w:rsid w:val="008F15B9"/>
    <w:rsid w:val="008F1981"/>
    <w:rsid w:val="008F2307"/>
    <w:rsid w:val="008F2583"/>
    <w:rsid w:val="008F405B"/>
    <w:rsid w:val="008F4ADE"/>
    <w:rsid w:val="008F529C"/>
    <w:rsid w:val="008F5465"/>
    <w:rsid w:val="008F5767"/>
    <w:rsid w:val="008F5C46"/>
    <w:rsid w:val="008F63A0"/>
    <w:rsid w:val="008F6510"/>
    <w:rsid w:val="008F6883"/>
    <w:rsid w:val="009005F5"/>
    <w:rsid w:val="00900DCB"/>
    <w:rsid w:val="00901140"/>
    <w:rsid w:val="009014DB"/>
    <w:rsid w:val="00901B37"/>
    <w:rsid w:val="00902737"/>
    <w:rsid w:val="0090295E"/>
    <w:rsid w:val="00902CEE"/>
    <w:rsid w:val="00902FC5"/>
    <w:rsid w:val="00903384"/>
    <w:rsid w:val="00903AC3"/>
    <w:rsid w:val="00904479"/>
    <w:rsid w:val="00904E71"/>
    <w:rsid w:val="00904EFD"/>
    <w:rsid w:val="00905441"/>
    <w:rsid w:val="0090548E"/>
    <w:rsid w:val="00905601"/>
    <w:rsid w:val="00905CBE"/>
    <w:rsid w:val="009064DF"/>
    <w:rsid w:val="00906B28"/>
    <w:rsid w:val="00906D76"/>
    <w:rsid w:val="00907721"/>
    <w:rsid w:val="00907ADA"/>
    <w:rsid w:val="00907C29"/>
    <w:rsid w:val="00910A51"/>
    <w:rsid w:val="00910FB6"/>
    <w:rsid w:val="009111A2"/>
    <w:rsid w:val="00911B80"/>
    <w:rsid w:val="00911BC7"/>
    <w:rsid w:val="00912857"/>
    <w:rsid w:val="00913B47"/>
    <w:rsid w:val="00913D25"/>
    <w:rsid w:val="00913E61"/>
    <w:rsid w:val="00914EBE"/>
    <w:rsid w:val="009156F8"/>
    <w:rsid w:val="00915EC6"/>
    <w:rsid w:val="00916B95"/>
    <w:rsid w:val="00917079"/>
    <w:rsid w:val="0091727E"/>
    <w:rsid w:val="00917CE2"/>
    <w:rsid w:val="00917D4E"/>
    <w:rsid w:val="00920E5D"/>
    <w:rsid w:val="00921157"/>
    <w:rsid w:val="0092178A"/>
    <w:rsid w:val="00921955"/>
    <w:rsid w:val="00922919"/>
    <w:rsid w:val="0092317E"/>
    <w:rsid w:val="00923C83"/>
    <w:rsid w:val="00924EF8"/>
    <w:rsid w:val="00925310"/>
    <w:rsid w:val="0092553E"/>
    <w:rsid w:val="00925C10"/>
    <w:rsid w:val="00926027"/>
    <w:rsid w:val="009260CE"/>
    <w:rsid w:val="009266CE"/>
    <w:rsid w:val="00926C49"/>
    <w:rsid w:val="00926C56"/>
    <w:rsid w:val="0092789B"/>
    <w:rsid w:val="00927AAC"/>
    <w:rsid w:val="00930306"/>
    <w:rsid w:val="00930E0E"/>
    <w:rsid w:val="00931125"/>
    <w:rsid w:val="0093147D"/>
    <w:rsid w:val="00931650"/>
    <w:rsid w:val="0093185A"/>
    <w:rsid w:val="00931862"/>
    <w:rsid w:val="0093197B"/>
    <w:rsid w:val="009319DC"/>
    <w:rsid w:val="00933082"/>
    <w:rsid w:val="0093309F"/>
    <w:rsid w:val="009334F6"/>
    <w:rsid w:val="00933606"/>
    <w:rsid w:val="00933C37"/>
    <w:rsid w:val="00934814"/>
    <w:rsid w:val="00934B5C"/>
    <w:rsid w:val="00935B40"/>
    <w:rsid w:val="00936F31"/>
    <w:rsid w:val="00940F50"/>
    <w:rsid w:val="009418E3"/>
    <w:rsid w:val="0094195B"/>
    <w:rsid w:val="00941B44"/>
    <w:rsid w:val="00941B4F"/>
    <w:rsid w:val="00941DA9"/>
    <w:rsid w:val="009422C4"/>
    <w:rsid w:val="00942ADF"/>
    <w:rsid w:val="00943239"/>
    <w:rsid w:val="00943507"/>
    <w:rsid w:val="00943FA2"/>
    <w:rsid w:val="00944297"/>
    <w:rsid w:val="009449E9"/>
    <w:rsid w:val="00944E3B"/>
    <w:rsid w:val="00944F11"/>
    <w:rsid w:val="00946447"/>
    <w:rsid w:val="00946702"/>
    <w:rsid w:val="00946B72"/>
    <w:rsid w:val="0094727C"/>
    <w:rsid w:val="00950A6E"/>
    <w:rsid w:val="00950AAA"/>
    <w:rsid w:val="00950E26"/>
    <w:rsid w:val="00951401"/>
    <w:rsid w:val="00951C57"/>
    <w:rsid w:val="009525EB"/>
    <w:rsid w:val="009529B8"/>
    <w:rsid w:val="009543AD"/>
    <w:rsid w:val="0095443E"/>
    <w:rsid w:val="009548C9"/>
    <w:rsid w:val="00954E3E"/>
    <w:rsid w:val="009552B5"/>
    <w:rsid w:val="00955C76"/>
    <w:rsid w:val="00956C3F"/>
    <w:rsid w:val="00956F2C"/>
    <w:rsid w:val="009573A3"/>
    <w:rsid w:val="009579D4"/>
    <w:rsid w:val="00960041"/>
    <w:rsid w:val="0096026D"/>
    <w:rsid w:val="00960322"/>
    <w:rsid w:val="0096047E"/>
    <w:rsid w:val="00960E56"/>
    <w:rsid w:val="00961168"/>
    <w:rsid w:val="00961224"/>
    <w:rsid w:val="009616F4"/>
    <w:rsid w:val="00961A08"/>
    <w:rsid w:val="009627F7"/>
    <w:rsid w:val="00962E06"/>
    <w:rsid w:val="00963591"/>
    <w:rsid w:val="00963CD3"/>
    <w:rsid w:val="009649BC"/>
    <w:rsid w:val="00964F6B"/>
    <w:rsid w:val="009650CB"/>
    <w:rsid w:val="009656AC"/>
    <w:rsid w:val="00965B57"/>
    <w:rsid w:val="0096604B"/>
    <w:rsid w:val="00966AB4"/>
    <w:rsid w:val="00967151"/>
    <w:rsid w:val="00967782"/>
    <w:rsid w:val="00970723"/>
    <w:rsid w:val="009719BC"/>
    <w:rsid w:val="00971C03"/>
    <w:rsid w:val="00971EC9"/>
    <w:rsid w:val="00972564"/>
    <w:rsid w:val="00972691"/>
    <w:rsid w:val="009727E6"/>
    <w:rsid w:val="00973941"/>
    <w:rsid w:val="00973F37"/>
    <w:rsid w:val="009741AB"/>
    <w:rsid w:val="00974691"/>
    <w:rsid w:val="00974DA2"/>
    <w:rsid w:val="00974E7C"/>
    <w:rsid w:val="00974EB0"/>
    <w:rsid w:val="00977190"/>
    <w:rsid w:val="009772F1"/>
    <w:rsid w:val="00977395"/>
    <w:rsid w:val="0097752E"/>
    <w:rsid w:val="00977580"/>
    <w:rsid w:val="0097776E"/>
    <w:rsid w:val="0097781F"/>
    <w:rsid w:val="00977B68"/>
    <w:rsid w:val="00980232"/>
    <w:rsid w:val="00980690"/>
    <w:rsid w:val="0098164D"/>
    <w:rsid w:val="00981A94"/>
    <w:rsid w:val="00981DF4"/>
    <w:rsid w:val="009827B8"/>
    <w:rsid w:val="00982B77"/>
    <w:rsid w:val="00982EA9"/>
    <w:rsid w:val="00983860"/>
    <w:rsid w:val="00983861"/>
    <w:rsid w:val="00983972"/>
    <w:rsid w:val="00983C00"/>
    <w:rsid w:val="00983D2D"/>
    <w:rsid w:val="00983DB7"/>
    <w:rsid w:val="00983EEC"/>
    <w:rsid w:val="009843A1"/>
    <w:rsid w:val="00984E4A"/>
    <w:rsid w:val="00984FAE"/>
    <w:rsid w:val="009856E8"/>
    <w:rsid w:val="00985AAE"/>
    <w:rsid w:val="00986A09"/>
    <w:rsid w:val="00986D71"/>
    <w:rsid w:val="00986F1A"/>
    <w:rsid w:val="009873F9"/>
    <w:rsid w:val="0098754F"/>
    <w:rsid w:val="00987891"/>
    <w:rsid w:val="00987CBC"/>
    <w:rsid w:val="00990025"/>
    <w:rsid w:val="00990233"/>
    <w:rsid w:val="009902AB"/>
    <w:rsid w:val="00990F97"/>
    <w:rsid w:val="00991D3D"/>
    <w:rsid w:val="00991DEB"/>
    <w:rsid w:val="00991EEF"/>
    <w:rsid w:val="009922BF"/>
    <w:rsid w:val="00992788"/>
    <w:rsid w:val="009934E3"/>
    <w:rsid w:val="0099427D"/>
    <w:rsid w:val="00996707"/>
    <w:rsid w:val="00997D83"/>
    <w:rsid w:val="009A0464"/>
    <w:rsid w:val="009A07AA"/>
    <w:rsid w:val="009A09E9"/>
    <w:rsid w:val="009A1D82"/>
    <w:rsid w:val="009A2C37"/>
    <w:rsid w:val="009A2F29"/>
    <w:rsid w:val="009A3104"/>
    <w:rsid w:val="009A3161"/>
    <w:rsid w:val="009A3256"/>
    <w:rsid w:val="009A384A"/>
    <w:rsid w:val="009A4274"/>
    <w:rsid w:val="009A4A95"/>
    <w:rsid w:val="009A58FE"/>
    <w:rsid w:val="009A5A6D"/>
    <w:rsid w:val="009A5B7B"/>
    <w:rsid w:val="009A5CBA"/>
    <w:rsid w:val="009A5CE8"/>
    <w:rsid w:val="009A5E28"/>
    <w:rsid w:val="009A5F9B"/>
    <w:rsid w:val="009A6805"/>
    <w:rsid w:val="009A690F"/>
    <w:rsid w:val="009A754A"/>
    <w:rsid w:val="009A7DD7"/>
    <w:rsid w:val="009B0952"/>
    <w:rsid w:val="009B0F45"/>
    <w:rsid w:val="009B25C2"/>
    <w:rsid w:val="009B2DB4"/>
    <w:rsid w:val="009B3177"/>
    <w:rsid w:val="009B3CE8"/>
    <w:rsid w:val="009B4A32"/>
    <w:rsid w:val="009B5060"/>
    <w:rsid w:val="009B52AD"/>
    <w:rsid w:val="009B5E77"/>
    <w:rsid w:val="009B6335"/>
    <w:rsid w:val="009B65F1"/>
    <w:rsid w:val="009B6B7F"/>
    <w:rsid w:val="009B7263"/>
    <w:rsid w:val="009B755C"/>
    <w:rsid w:val="009B77AB"/>
    <w:rsid w:val="009C0681"/>
    <w:rsid w:val="009C090D"/>
    <w:rsid w:val="009C0C28"/>
    <w:rsid w:val="009C152E"/>
    <w:rsid w:val="009C15EA"/>
    <w:rsid w:val="009C160E"/>
    <w:rsid w:val="009C16D6"/>
    <w:rsid w:val="009C1D58"/>
    <w:rsid w:val="009C1E88"/>
    <w:rsid w:val="009C2021"/>
    <w:rsid w:val="009C2317"/>
    <w:rsid w:val="009C28C4"/>
    <w:rsid w:val="009C28CA"/>
    <w:rsid w:val="009C2B0C"/>
    <w:rsid w:val="009C2D7E"/>
    <w:rsid w:val="009C365F"/>
    <w:rsid w:val="009C39B5"/>
    <w:rsid w:val="009C4A78"/>
    <w:rsid w:val="009C4E4E"/>
    <w:rsid w:val="009C4FF8"/>
    <w:rsid w:val="009C5002"/>
    <w:rsid w:val="009C52FF"/>
    <w:rsid w:val="009C54E2"/>
    <w:rsid w:val="009C57A6"/>
    <w:rsid w:val="009C6035"/>
    <w:rsid w:val="009C6203"/>
    <w:rsid w:val="009C6852"/>
    <w:rsid w:val="009C6BDB"/>
    <w:rsid w:val="009C70F9"/>
    <w:rsid w:val="009C7451"/>
    <w:rsid w:val="009C76C2"/>
    <w:rsid w:val="009D039B"/>
    <w:rsid w:val="009D0795"/>
    <w:rsid w:val="009D1670"/>
    <w:rsid w:val="009D1D1E"/>
    <w:rsid w:val="009D2200"/>
    <w:rsid w:val="009D2312"/>
    <w:rsid w:val="009D2437"/>
    <w:rsid w:val="009D2B68"/>
    <w:rsid w:val="009D343E"/>
    <w:rsid w:val="009D392E"/>
    <w:rsid w:val="009D40F3"/>
    <w:rsid w:val="009D4C0F"/>
    <w:rsid w:val="009D4F10"/>
    <w:rsid w:val="009D56A2"/>
    <w:rsid w:val="009D5BE2"/>
    <w:rsid w:val="009D6E84"/>
    <w:rsid w:val="009E02BA"/>
    <w:rsid w:val="009E0450"/>
    <w:rsid w:val="009E1940"/>
    <w:rsid w:val="009E247E"/>
    <w:rsid w:val="009E29EB"/>
    <w:rsid w:val="009E349B"/>
    <w:rsid w:val="009E3573"/>
    <w:rsid w:val="009E37C3"/>
    <w:rsid w:val="009E394F"/>
    <w:rsid w:val="009E3DBE"/>
    <w:rsid w:val="009E3FF3"/>
    <w:rsid w:val="009E4957"/>
    <w:rsid w:val="009E49BA"/>
    <w:rsid w:val="009E4BBB"/>
    <w:rsid w:val="009E4EF6"/>
    <w:rsid w:val="009E62D7"/>
    <w:rsid w:val="009E71E7"/>
    <w:rsid w:val="009E71F8"/>
    <w:rsid w:val="009E7468"/>
    <w:rsid w:val="009E7F95"/>
    <w:rsid w:val="009F0813"/>
    <w:rsid w:val="009F1A0A"/>
    <w:rsid w:val="009F2924"/>
    <w:rsid w:val="009F2ADA"/>
    <w:rsid w:val="009F33FE"/>
    <w:rsid w:val="009F3672"/>
    <w:rsid w:val="009F4458"/>
    <w:rsid w:val="009F45FA"/>
    <w:rsid w:val="009F4C9A"/>
    <w:rsid w:val="009F560C"/>
    <w:rsid w:val="009F5F5F"/>
    <w:rsid w:val="009F6594"/>
    <w:rsid w:val="009F7876"/>
    <w:rsid w:val="009F7A72"/>
    <w:rsid w:val="00A0076A"/>
    <w:rsid w:val="00A00A13"/>
    <w:rsid w:val="00A015C4"/>
    <w:rsid w:val="00A033F7"/>
    <w:rsid w:val="00A036DC"/>
    <w:rsid w:val="00A03AB8"/>
    <w:rsid w:val="00A040E8"/>
    <w:rsid w:val="00A045EE"/>
    <w:rsid w:val="00A05DCE"/>
    <w:rsid w:val="00A063C9"/>
    <w:rsid w:val="00A06AD7"/>
    <w:rsid w:val="00A06E30"/>
    <w:rsid w:val="00A06F10"/>
    <w:rsid w:val="00A071BC"/>
    <w:rsid w:val="00A073A8"/>
    <w:rsid w:val="00A07510"/>
    <w:rsid w:val="00A07A9C"/>
    <w:rsid w:val="00A1004F"/>
    <w:rsid w:val="00A10595"/>
    <w:rsid w:val="00A10D99"/>
    <w:rsid w:val="00A12329"/>
    <w:rsid w:val="00A123A6"/>
    <w:rsid w:val="00A13387"/>
    <w:rsid w:val="00A13898"/>
    <w:rsid w:val="00A14575"/>
    <w:rsid w:val="00A14B59"/>
    <w:rsid w:val="00A15409"/>
    <w:rsid w:val="00A15862"/>
    <w:rsid w:val="00A15AEA"/>
    <w:rsid w:val="00A15BEB"/>
    <w:rsid w:val="00A171F0"/>
    <w:rsid w:val="00A175CF"/>
    <w:rsid w:val="00A17979"/>
    <w:rsid w:val="00A17B2D"/>
    <w:rsid w:val="00A21287"/>
    <w:rsid w:val="00A21D65"/>
    <w:rsid w:val="00A21FEE"/>
    <w:rsid w:val="00A234CD"/>
    <w:rsid w:val="00A23973"/>
    <w:rsid w:val="00A23AE2"/>
    <w:rsid w:val="00A2438D"/>
    <w:rsid w:val="00A24DF5"/>
    <w:rsid w:val="00A25465"/>
    <w:rsid w:val="00A25496"/>
    <w:rsid w:val="00A25692"/>
    <w:rsid w:val="00A25977"/>
    <w:rsid w:val="00A26302"/>
    <w:rsid w:val="00A268A4"/>
    <w:rsid w:val="00A26EB0"/>
    <w:rsid w:val="00A27ADF"/>
    <w:rsid w:val="00A27C16"/>
    <w:rsid w:val="00A27CB5"/>
    <w:rsid w:val="00A27D61"/>
    <w:rsid w:val="00A30274"/>
    <w:rsid w:val="00A30555"/>
    <w:rsid w:val="00A30CD4"/>
    <w:rsid w:val="00A314D0"/>
    <w:rsid w:val="00A3153C"/>
    <w:rsid w:val="00A31822"/>
    <w:rsid w:val="00A32369"/>
    <w:rsid w:val="00A3255A"/>
    <w:rsid w:val="00A32A1D"/>
    <w:rsid w:val="00A32A86"/>
    <w:rsid w:val="00A32D68"/>
    <w:rsid w:val="00A33266"/>
    <w:rsid w:val="00A3362C"/>
    <w:rsid w:val="00A33EAB"/>
    <w:rsid w:val="00A343B4"/>
    <w:rsid w:val="00A346A3"/>
    <w:rsid w:val="00A34C0A"/>
    <w:rsid w:val="00A34E73"/>
    <w:rsid w:val="00A355D0"/>
    <w:rsid w:val="00A3579B"/>
    <w:rsid w:val="00A35C99"/>
    <w:rsid w:val="00A3604E"/>
    <w:rsid w:val="00A36316"/>
    <w:rsid w:val="00A365FE"/>
    <w:rsid w:val="00A36636"/>
    <w:rsid w:val="00A3673A"/>
    <w:rsid w:val="00A36B83"/>
    <w:rsid w:val="00A36D0F"/>
    <w:rsid w:val="00A36D85"/>
    <w:rsid w:val="00A36E04"/>
    <w:rsid w:val="00A370BB"/>
    <w:rsid w:val="00A375B5"/>
    <w:rsid w:val="00A37C4B"/>
    <w:rsid w:val="00A405CE"/>
    <w:rsid w:val="00A40FAD"/>
    <w:rsid w:val="00A413C2"/>
    <w:rsid w:val="00A41C5F"/>
    <w:rsid w:val="00A4234F"/>
    <w:rsid w:val="00A42F1D"/>
    <w:rsid w:val="00A43DC5"/>
    <w:rsid w:val="00A445F3"/>
    <w:rsid w:val="00A4612B"/>
    <w:rsid w:val="00A46836"/>
    <w:rsid w:val="00A46913"/>
    <w:rsid w:val="00A46BC1"/>
    <w:rsid w:val="00A46BDD"/>
    <w:rsid w:val="00A46DEE"/>
    <w:rsid w:val="00A47003"/>
    <w:rsid w:val="00A47A80"/>
    <w:rsid w:val="00A506C4"/>
    <w:rsid w:val="00A50756"/>
    <w:rsid w:val="00A51287"/>
    <w:rsid w:val="00A51883"/>
    <w:rsid w:val="00A5261D"/>
    <w:rsid w:val="00A52972"/>
    <w:rsid w:val="00A52DEF"/>
    <w:rsid w:val="00A533B5"/>
    <w:rsid w:val="00A535E4"/>
    <w:rsid w:val="00A53ABB"/>
    <w:rsid w:val="00A53DBA"/>
    <w:rsid w:val="00A54237"/>
    <w:rsid w:val="00A543E8"/>
    <w:rsid w:val="00A548DF"/>
    <w:rsid w:val="00A54C54"/>
    <w:rsid w:val="00A55175"/>
    <w:rsid w:val="00A556A1"/>
    <w:rsid w:val="00A55F8D"/>
    <w:rsid w:val="00A56801"/>
    <w:rsid w:val="00A577AD"/>
    <w:rsid w:val="00A57BDB"/>
    <w:rsid w:val="00A57CEC"/>
    <w:rsid w:val="00A600F4"/>
    <w:rsid w:val="00A60640"/>
    <w:rsid w:val="00A60745"/>
    <w:rsid w:val="00A609A9"/>
    <w:rsid w:val="00A61480"/>
    <w:rsid w:val="00A615B1"/>
    <w:rsid w:val="00A619D9"/>
    <w:rsid w:val="00A61F7C"/>
    <w:rsid w:val="00A624A8"/>
    <w:rsid w:val="00A6281E"/>
    <w:rsid w:val="00A632F8"/>
    <w:rsid w:val="00A6398C"/>
    <w:rsid w:val="00A63B65"/>
    <w:rsid w:val="00A64191"/>
    <w:rsid w:val="00A64775"/>
    <w:rsid w:val="00A64B20"/>
    <w:rsid w:val="00A64D36"/>
    <w:rsid w:val="00A64DCB"/>
    <w:rsid w:val="00A65408"/>
    <w:rsid w:val="00A66517"/>
    <w:rsid w:val="00A666E0"/>
    <w:rsid w:val="00A67925"/>
    <w:rsid w:val="00A67DA6"/>
    <w:rsid w:val="00A70592"/>
    <w:rsid w:val="00A70B24"/>
    <w:rsid w:val="00A71B1F"/>
    <w:rsid w:val="00A72C1A"/>
    <w:rsid w:val="00A72D7B"/>
    <w:rsid w:val="00A73912"/>
    <w:rsid w:val="00A739C5"/>
    <w:rsid w:val="00A73C2A"/>
    <w:rsid w:val="00A73F7B"/>
    <w:rsid w:val="00A746A8"/>
    <w:rsid w:val="00A75103"/>
    <w:rsid w:val="00A7528E"/>
    <w:rsid w:val="00A755E5"/>
    <w:rsid w:val="00A755E8"/>
    <w:rsid w:val="00A75B71"/>
    <w:rsid w:val="00A75F68"/>
    <w:rsid w:val="00A76557"/>
    <w:rsid w:val="00A769EF"/>
    <w:rsid w:val="00A76BC1"/>
    <w:rsid w:val="00A76D2C"/>
    <w:rsid w:val="00A76D44"/>
    <w:rsid w:val="00A80097"/>
    <w:rsid w:val="00A802B5"/>
    <w:rsid w:val="00A80AF4"/>
    <w:rsid w:val="00A811D4"/>
    <w:rsid w:val="00A8123C"/>
    <w:rsid w:val="00A81CB7"/>
    <w:rsid w:val="00A8376A"/>
    <w:rsid w:val="00A83AC0"/>
    <w:rsid w:val="00A8441B"/>
    <w:rsid w:val="00A849DE"/>
    <w:rsid w:val="00A852AF"/>
    <w:rsid w:val="00A857F1"/>
    <w:rsid w:val="00A85D72"/>
    <w:rsid w:val="00A85ED6"/>
    <w:rsid w:val="00A870FF"/>
    <w:rsid w:val="00A8729C"/>
    <w:rsid w:val="00A87C93"/>
    <w:rsid w:val="00A900DA"/>
    <w:rsid w:val="00A90254"/>
    <w:rsid w:val="00A90C2C"/>
    <w:rsid w:val="00A925C2"/>
    <w:rsid w:val="00A92727"/>
    <w:rsid w:val="00A929BA"/>
    <w:rsid w:val="00A93137"/>
    <w:rsid w:val="00A93A13"/>
    <w:rsid w:val="00A93EFF"/>
    <w:rsid w:val="00A93FE5"/>
    <w:rsid w:val="00A94784"/>
    <w:rsid w:val="00A94928"/>
    <w:rsid w:val="00A95228"/>
    <w:rsid w:val="00A9550C"/>
    <w:rsid w:val="00A95C56"/>
    <w:rsid w:val="00A95E48"/>
    <w:rsid w:val="00A960DC"/>
    <w:rsid w:val="00A9620E"/>
    <w:rsid w:val="00A96DA9"/>
    <w:rsid w:val="00A97EB8"/>
    <w:rsid w:val="00A97FC4"/>
    <w:rsid w:val="00AA0BAF"/>
    <w:rsid w:val="00AA0EE0"/>
    <w:rsid w:val="00AA158E"/>
    <w:rsid w:val="00AA19D5"/>
    <w:rsid w:val="00AA1B43"/>
    <w:rsid w:val="00AA2A1F"/>
    <w:rsid w:val="00AA3254"/>
    <w:rsid w:val="00AA43A0"/>
    <w:rsid w:val="00AA4DB3"/>
    <w:rsid w:val="00AA51C4"/>
    <w:rsid w:val="00AA540A"/>
    <w:rsid w:val="00AA5C1F"/>
    <w:rsid w:val="00AA5D72"/>
    <w:rsid w:val="00AA62E4"/>
    <w:rsid w:val="00AA6387"/>
    <w:rsid w:val="00AA7323"/>
    <w:rsid w:val="00AB009E"/>
    <w:rsid w:val="00AB1111"/>
    <w:rsid w:val="00AB178E"/>
    <w:rsid w:val="00AB1807"/>
    <w:rsid w:val="00AB1A26"/>
    <w:rsid w:val="00AB1A47"/>
    <w:rsid w:val="00AB1BED"/>
    <w:rsid w:val="00AB1C5D"/>
    <w:rsid w:val="00AB1F94"/>
    <w:rsid w:val="00AB1FFC"/>
    <w:rsid w:val="00AB229C"/>
    <w:rsid w:val="00AB3AE3"/>
    <w:rsid w:val="00AB4642"/>
    <w:rsid w:val="00AB4ED7"/>
    <w:rsid w:val="00AB50D3"/>
    <w:rsid w:val="00AB5543"/>
    <w:rsid w:val="00AB5621"/>
    <w:rsid w:val="00AB6096"/>
    <w:rsid w:val="00AB638F"/>
    <w:rsid w:val="00AB68D3"/>
    <w:rsid w:val="00AB69BC"/>
    <w:rsid w:val="00AB6E61"/>
    <w:rsid w:val="00AB7131"/>
    <w:rsid w:val="00AB7939"/>
    <w:rsid w:val="00AC0269"/>
    <w:rsid w:val="00AC030B"/>
    <w:rsid w:val="00AC0668"/>
    <w:rsid w:val="00AC0736"/>
    <w:rsid w:val="00AC144C"/>
    <w:rsid w:val="00AC1907"/>
    <w:rsid w:val="00AC1DA5"/>
    <w:rsid w:val="00AC20E3"/>
    <w:rsid w:val="00AC271C"/>
    <w:rsid w:val="00AC2900"/>
    <w:rsid w:val="00AC2B9C"/>
    <w:rsid w:val="00AC2C7F"/>
    <w:rsid w:val="00AC31C7"/>
    <w:rsid w:val="00AC3979"/>
    <w:rsid w:val="00AC39F6"/>
    <w:rsid w:val="00AC3A40"/>
    <w:rsid w:val="00AC3EF1"/>
    <w:rsid w:val="00AC4C91"/>
    <w:rsid w:val="00AC4DF2"/>
    <w:rsid w:val="00AC50AC"/>
    <w:rsid w:val="00AC5979"/>
    <w:rsid w:val="00AC5C45"/>
    <w:rsid w:val="00AC5E74"/>
    <w:rsid w:val="00AC69A5"/>
    <w:rsid w:val="00AC7072"/>
    <w:rsid w:val="00AC76BD"/>
    <w:rsid w:val="00AD0761"/>
    <w:rsid w:val="00AD09E2"/>
    <w:rsid w:val="00AD0F30"/>
    <w:rsid w:val="00AD116A"/>
    <w:rsid w:val="00AD13B2"/>
    <w:rsid w:val="00AD2387"/>
    <w:rsid w:val="00AD256D"/>
    <w:rsid w:val="00AD2A3F"/>
    <w:rsid w:val="00AD32F7"/>
    <w:rsid w:val="00AD33EF"/>
    <w:rsid w:val="00AD378F"/>
    <w:rsid w:val="00AD3921"/>
    <w:rsid w:val="00AD3A37"/>
    <w:rsid w:val="00AD3BFD"/>
    <w:rsid w:val="00AD3D34"/>
    <w:rsid w:val="00AD452D"/>
    <w:rsid w:val="00AD4660"/>
    <w:rsid w:val="00AD4B73"/>
    <w:rsid w:val="00AD514A"/>
    <w:rsid w:val="00AD55E8"/>
    <w:rsid w:val="00AD5D1E"/>
    <w:rsid w:val="00AD5DD0"/>
    <w:rsid w:val="00AD60FC"/>
    <w:rsid w:val="00AD6DC8"/>
    <w:rsid w:val="00AD71B7"/>
    <w:rsid w:val="00AD74D5"/>
    <w:rsid w:val="00AD7D3D"/>
    <w:rsid w:val="00AD7EC9"/>
    <w:rsid w:val="00AE0129"/>
    <w:rsid w:val="00AE049A"/>
    <w:rsid w:val="00AE06F0"/>
    <w:rsid w:val="00AE13A4"/>
    <w:rsid w:val="00AE1AEE"/>
    <w:rsid w:val="00AE1B25"/>
    <w:rsid w:val="00AE2599"/>
    <w:rsid w:val="00AE30F6"/>
    <w:rsid w:val="00AE408A"/>
    <w:rsid w:val="00AE5357"/>
    <w:rsid w:val="00AE5A95"/>
    <w:rsid w:val="00AE5EBC"/>
    <w:rsid w:val="00AE6095"/>
    <w:rsid w:val="00AE6245"/>
    <w:rsid w:val="00AE66C7"/>
    <w:rsid w:val="00AE67B9"/>
    <w:rsid w:val="00AE6C6E"/>
    <w:rsid w:val="00AE75CE"/>
    <w:rsid w:val="00AE7E3D"/>
    <w:rsid w:val="00AF0482"/>
    <w:rsid w:val="00AF0715"/>
    <w:rsid w:val="00AF0F53"/>
    <w:rsid w:val="00AF105A"/>
    <w:rsid w:val="00AF1117"/>
    <w:rsid w:val="00AF1262"/>
    <w:rsid w:val="00AF1FF1"/>
    <w:rsid w:val="00AF203F"/>
    <w:rsid w:val="00AF219A"/>
    <w:rsid w:val="00AF25EC"/>
    <w:rsid w:val="00AF3095"/>
    <w:rsid w:val="00AF3843"/>
    <w:rsid w:val="00AF3A06"/>
    <w:rsid w:val="00AF3DE4"/>
    <w:rsid w:val="00AF42F3"/>
    <w:rsid w:val="00AF43AD"/>
    <w:rsid w:val="00AF4DA5"/>
    <w:rsid w:val="00AF6139"/>
    <w:rsid w:val="00AF66E0"/>
    <w:rsid w:val="00AF6BB8"/>
    <w:rsid w:val="00AF6E93"/>
    <w:rsid w:val="00AF6F53"/>
    <w:rsid w:val="00AF74AB"/>
    <w:rsid w:val="00B000D5"/>
    <w:rsid w:val="00B004EF"/>
    <w:rsid w:val="00B007D2"/>
    <w:rsid w:val="00B008CC"/>
    <w:rsid w:val="00B01303"/>
    <w:rsid w:val="00B01800"/>
    <w:rsid w:val="00B01938"/>
    <w:rsid w:val="00B01D32"/>
    <w:rsid w:val="00B02397"/>
    <w:rsid w:val="00B030E2"/>
    <w:rsid w:val="00B034D2"/>
    <w:rsid w:val="00B03732"/>
    <w:rsid w:val="00B037EA"/>
    <w:rsid w:val="00B03DB5"/>
    <w:rsid w:val="00B04204"/>
    <w:rsid w:val="00B0421F"/>
    <w:rsid w:val="00B05A3F"/>
    <w:rsid w:val="00B05E88"/>
    <w:rsid w:val="00B06BB8"/>
    <w:rsid w:val="00B06CED"/>
    <w:rsid w:val="00B06E5B"/>
    <w:rsid w:val="00B079B1"/>
    <w:rsid w:val="00B10F5E"/>
    <w:rsid w:val="00B11145"/>
    <w:rsid w:val="00B1176A"/>
    <w:rsid w:val="00B132D3"/>
    <w:rsid w:val="00B13E10"/>
    <w:rsid w:val="00B14F72"/>
    <w:rsid w:val="00B1570C"/>
    <w:rsid w:val="00B1589E"/>
    <w:rsid w:val="00B17302"/>
    <w:rsid w:val="00B175A1"/>
    <w:rsid w:val="00B179EF"/>
    <w:rsid w:val="00B17E63"/>
    <w:rsid w:val="00B205F6"/>
    <w:rsid w:val="00B20872"/>
    <w:rsid w:val="00B20956"/>
    <w:rsid w:val="00B20C84"/>
    <w:rsid w:val="00B21DEE"/>
    <w:rsid w:val="00B225D8"/>
    <w:rsid w:val="00B2294D"/>
    <w:rsid w:val="00B23159"/>
    <w:rsid w:val="00B233EB"/>
    <w:rsid w:val="00B23434"/>
    <w:rsid w:val="00B23621"/>
    <w:rsid w:val="00B2413A"/>
    <w:rsid w:val="00B2523C"/>
    <w:rsid w:val="00B25295"/>
    <w:rsid w:val="00B252A5"/>
    <w:rsid w:val="00B2536C"/>
    <w:rsid w:val="00B25853"/>
    <w:rsid w:val="00B25B1C"/>
    <w:rsid w:val="00B2637E"/>
    <w:rsid w:val="00B26689"/>
    <w:rsid w:val="00B26B99"/>
    <w:rsid w:val="00B26C93"/>
    <w:rsid w:val="00B27DCA"/>
    <w:rsid w:val="00B30EFC"/>
    <w:rsid w:val="00B31905"/>
    <w:rsid w:val="00B3205C"/>
    <w:rsid w:val="00B323DD"/>
    <w:rsid w:val="00B3240D"/>
    <w:rsid w:val="00B32DDA"/>
    <w:rsid w:val="00B32E12"/>
    <w:rsid w:val="00B330C0"/>
    <w:rsid w:val="00B33654"/>
    <w:rsid w:val="00B3404E"/>
    <w:rsid w:val="00B34855"/>
    <w:rsid w:val="00B34AD9"/>
    <w:rsid w:val="00B36359"/>
    <w:rsid w:val="00B36451"/>
    <w:rsid w:val="00B37390"/>
    <w:rsid w:val="00B37874"/>
    <w:rsid w:val="00B40717"/>
    <w:rsid w:val="00B40860"/>
    <w:rsid w:val="00B419CF"/>
    <w:rsid w:val="00B41DB2"/>
    <w:rsid w:val="00B422AD"/>
    <w:rsid w:val="00B42C8E"/>
    <w:rsid w:val="00B42CAD"/>
    <w:rsid w:val="00B43AAE"/>
    <w:rsid w:val="00B43D11"/>
    <w:rsid w:val="00B44763"/>
    <w:rsid w:val="00B44A9C"/>
    <w:rsid w:val="00B44B35"/>
    <w:rsid w:val="00B44DA9"/>
    <w:rsid w:val="00B44EB7"/>
    <w:rsid w:val="00B45D7B"/>
    <w:rsid w:val="00B45F9E"/>
    <w:rsid w:val="00B4628B"/>
    <w:rsid w:val="00B46329"/>
    <w:rsid w:val="00B467D8"/>
    <w:rsid w:val="00B50501"/>
    <w:rsid w:val="00B50595"/>
    <w:rsid w:val="00B50D85"/>
    <w:rsid w:val="00B513E9"/>
    <w:rsid w:val="00B51BD1"/>
    <w:rsid w:val="00B52379"/>
    <w:rsid w:val="00B54569"/>
    <w:rsid w:val="00B54AE1"/>
    <w:rsid w:val="00B5584A"/>
    <w:rsid w:val="00B569FF"/>
    <w:rsid w:val="00B57340"/>
    <w:rsid w:val="00B6030C"/>
    <w:rsid w:val="00B60319"/>
    <w:rsid w:val="00B60B22"/>
    <w:rsid w:val="00B613D4"/>
    <w:rsid w:val="00B616D4"/>
    <w:rsid w:val="00B62EF0"/>
    <w:rsid w:val="00B63F2A"/>
    <w:rsid w:val="00B64080"/>
    <w:rsid w:val="00B65112"/>
    <w:rsid w:val="00B65D2D"/>
    <w:rsid w:val="00B66636"/>
    <w:rsid w:val="00B66689"/>
    <w:rsid w:val="00B674EF"/>
    <w:rsid w:val="00B6759C"/>
    <w:rsid w:val="00B676A1"/>
    <w:rsid w:val="00B70103"/>
    <w:rsid w:val="00B70338"/>
    <w:rsid w:val="00B705BF"/>
    <w:rsid w:val="00B70A9F"/>
    <w:rsid w:val="00B71A82"/>
    <w:rsid w:val="00B71F8D"/>
    <w:rsid w:val="00B721A7"/>
    <w:rsid w:val="00B72460"/>
    <w:rsid w:val="00B72E7A"/>
    <w:rsid w:val="00B730C5"/>
    <w:rsid w:val="00B7344F"/>
    <w:rsid w:val="00B736C6"/>
    <w:rsid w:val="00B73BC0"/>
    <w:rsid w:val="00B73D58"/>
    <w:rsid w:val="00B74754"/>
    <w:rsid w:val="00B7487D"/>
    <w:rsid w:val="00B74B0F"/>
    <w:rsid w:val="00B75367"/>
    <w:rsid w:val="00B7554D"/>
    <w:rsid w:val="00B7585F"/>
    <w:rsid w:val="00B7650D"/>
    <w:rsid w:val="00B7658B"/>
    <w:rsid w:val="00B77667"/>
    <w:rsid w:val="00B77E71"/>
    <w:rsid w:val="00B77EF3"/>
    <w:rsid w:val="00B805D6"/>
    <w:rsid w:val="00B8063D"/>
    <w:rsid w:val="00B812F5"/>
    <w:rsid w:val="00B81EBE"/>
    <w:rsid w:val="00B81F5C"/>
    <w:rsid w:val="00B821E7"/>
    <w:rsid w:val="00B8238E"/>
    <w:rsid w:val="00B827B5"/>
    <w:rsid w:val="00B83116"/>
    <w:rsid w:val="00B832F9"/>
    <w:rsid w:val="00B83330"/>
    <w:rsid w:val="00B835CB"/>
    <w:rsid w:val="00B836DB"/>
    <w:rsid w:val="00B83821"/>
    <w:rsid w:val="00B84395"/>
    <w:rsid w:val="00B843A9"/>
    <w:rsid w:val="00B84758"/>
    <w:rsid w:val="00B8625B"/>
    <w:rsid w:val="00B86665"/>
    <w:rsid w:val="00B8671D"/>
    <w:rsid w:val="00B86A0D"/>
    <w:rsid w:val="00B86C8F"/>
    <w:rsid w:val="00B872D1"/>
    <w:rsid w:val="00B8771D"/>
    <w:rsid w:val="00B87D69"/>
    <w:rsid w:val="00B87E3F"/>
    <w:rsid w:val="00B9004D"/>
    <w:rsid w:val="00B908D0"/>
    <w:rsid w:val="00B90C6F"/>
    <w:rsid w:val="00B910A2"/>
    <w:rsid w:val="00B91186"/>
    <w:rsid w:val="00B91B48"/>
    <w:rsid w:val="00B91D4C"/>
    <w:rsid w:val="00B925D3"/>
    <w:rsid w:val="00B92AE6"/>
    <w:rsid w:val="00B92D88"/>
    <w:rsid w:val="00B9326B"/>
    <w:rsid w:val="00B93542"/>
    <w:rsid w:val="00B93566"/>
    <w:rsid w:val="00B93697"/>
    <w:rsid w:val="00B937C1"/>
    <w:rsid w:val="00B93F12"/>
    <w:rsid w:val="00B94EF7"/>
    <w:rsid w:val="00B95794"/>
    <w:rsid w:val="00B9588E"/>
    <w:rsid w:val="00B95ACB"/>
    <w:rsid w:val="00B95C8D"/>
    <w:rsid w:val="00B95F1D"/>
    <w:rsid w:val="00B9617C"/>
    <w:rsid w:val="00BA02DB"/>
    <w:rsid w:val="00BA04DA"/>
    <w:rsid w:val="00BA0FA5"/>
    <w:rsid w:val="00BA1492"/>
    <w:rsid w:val="00BA2248"/>
    <w:rsid w:val="00BA2B77"/>
    <w:rsid w:val="00BA2CBC"/>
    <w:rsid w:val="00BA2E84"/>
    <w:rsid w:val="00BA3588"/>
    <w:rsid w:val="00BA3965"/>
    <w:rsid w:val="00BA425E"/>
    <w:rsid w:val="00BA47DB"/>
    <w:rsid w:val="00BA4855"/>
    <w:rsid w:val="00BA516E"/>
    <w:rsid w:val="00BA539E"/>
    <w:rsid w:val="00BA5418"/>
    <w:rsid w:val="00BA5C7E"/>
    <w:rsid w:val="00BA5CC8"/>
    <w:rsid w:val="00BA6895"/>
    <w:rsid w:val="00BA6B8D"/>
    <w:rsid w:val="00BA769C"/>
    <w:rsid w:val="00BA7F0E"/>
    <w:rsid w:val="00BB0108"/>
    <w:rsid w:val="00BB0625"/>
    <w:rsid w:val="00BB08A4"/>
    <w:rsid w:val="00BB0983"/>
    <w:rsid w:val="00BB0BFB"/>
    <w:rsid w:val="00BB0CBA"/>
    <w:rsid w:val="00BB1548"/>
    <w:rsid w:val="00BB15B7"/>
    <w:rsid w:val="00BB1955"/>
    <w:rsid w:val="00BB2994"/>
    <w:rsid w:val="00BB2A69"/>
    <w:rsid w:val="00BB30B3"/>
    <w:rsid w:val="00BB373A"/>
    <w:rsid w:val="00BB3F97"/>
    <w:rsid w:val="00BB44B2"/>
    <w:rsid w:val="00BB46E7"/>
    <w:rsid w:val="00BB4E93"/>
    <w:rsid w:val="00BB5138"/>
    <w:rsid w:val="00BB533F"/>
    <w:rsid w:val="00BB5C83"/>
    <w:rsid w:val="00BB5D46"/>
    <w:rsid w:val="00BB644E"/>
    <w:rsid w:val="00BB6454"/>
    <w:rsid w:val="00BB6903"/>
    <w:rsid w:val="00BB7E57"/>
    <w:rsid w:val="00BC14C1"/>
    <w:rsid w:val="00BC17D2"/>
    <w:rsid w:val="00BC1B7D"/>
    <w:rsid w:val="00BC2197"/>
    <w:rsid w:val="00BC3B09"/>
    <w:rsid w:val="00BC4085"/>
    <w:rsid w:val="00BC42FD"/>
    <w:rsid w:val="00BC430B"/>
    <w:rsid w:val="00BC45B0"/>
    <w:rsid w:val="00BC4615"/>
    <w:rsid w:val="00BC53ED"/>
    <w:rsid w:val="00BC54E1"/>
    <w:rsid w:val="00BC5B3A"/>
    <w:rsid w:val="00BC5E91"/>
    <w:rsid w:val="00BC6159"/>
    <w:rsid w:val="00BC61F9"/>
    <w:rsid w:val="00BC644B"/>
    <w:rsid w:val="00BC7592"/>
    <w:rsid w:val="00BC7968"/>
    <w:rsid w:val="00BC79C6"/>
    <w:rsid w:val="00BD0D10"/>
    <w:rsid w:val="00BD0F26"/>
    <w:rsid w:val="00BD106A"/>
    <w:rsid w:val="00BD1543"/>
    <w:rsid w:val="00BD1808"/>
    <w:rsid w:val="00BD1872"/>
    <w:rsid w:val="00BD277E"/>
    <w:rsid w:val="00BD29C5"/>
    <w:rsid w:val="00BD32DF"/>
    <w:rsid w:val="00BD363C"/>
    <w:rsid w:val="00BD373C"/>
    <w:rsid w:val="00BD3C16"/>
    <w:rsid w:val="00BD41B7"/>
    <w:rsid w:val="00BD43B0"/>
    <w:rsid w:val="00BD4491"/>
    <w:rsid w:val="00BD44E7"/>
    <w:rsid w:val="00BD45BF"/>
    <w:rsid w:val="00BD511D"/>
    <w:rsid w:val="00BD51EA"/>
    <w:rsid w:val="00BD647E"/>
    <w:rsid w:val="00BD65BD"/>
    <w:rsid w:val="00BD709A"/>
    <w:rsid w:val="00BD7871"/>
    <w:rsid w:val="00BD7A7E"/>
    <w:rsid w:val="00BD7AD8"/>
    <w:rsid w:val="00BE0292"/>
    <w:rsid w:val="00BE0A3F"/>
    <w:rsid w:val="00BE0EA9"/>
    <w:rsid w:val="00BE1A02"/>
    <w:rsid w:val="00BE2508"/>
    <w:rsid w:val="00BE26EF"/>
    <w:rsid w:val="00BE29D1"/>
    <w:rsid w:val="00BE2D24"/>
    <w:rsid w:val="00BE39E8"/>
    <w:rsid w:val="00BE3A32"/>
    <w:rsid w:val="00BE490A"/>
    <w:rsid w:val="00BE4CF1"/>
    <w:rsid w:val="00BE5412"/>
    <w:rsid w:val="00BE5C60"/>
    <w:rsid w:val="00BE5E76"/>
    <w:rsid w:val="00BE5E93"/>
    <w:rsid w:val="00BE6BFF"/>
    <w:rsid w:val="00BE6EEF"/>
    <w:rsid w:val="00BE7463"/>
    <w:rsid w:val="00BE7D4F"/>
    <w:rsid w:val="00BF0129"/>
    <w:rsid w:val="00BF04C9"/>
    <w:rsid w:val="00BF059B"/>
    <w:rsid w:val="00BF0ED9"/>
    <w:rsid w:val="00BF109C"/>
    <w:rsid w:val="00BF14FC"/>
    <w:rsid w:val="00BF17AC"/>
    <w:rsid w:val="00BF1E19"/>
    <w:rsid w:val="00BF1E4A"/>
    <w:rsid w:val="00BF1F96"/>
    <w:rsid w:val="00BF256A"/>
    <w:rsid w:val="00BF35EA"/>
    <w:rsid w:val="00BF37EC"/>
    <w:rsid w:val="00BF3D91"/>
    <w:rsid w:val="00BF3E55"/>
    <w:rsid w:val="00BF4629"/>
    <w:rsid w:val="00BF482A"/>
    <w:rsid w:val="00BF4F18"/>
    <w:rsid w:val="00BF614D"/>
    <w:rsid w:val="00BF74F7"/>
    <w:rsid w:val="00BF7E0B"/>
    <w:rsid w:val="00BF7E82"/>
    <w:rsid w:val="00C00845"/>
    <w:rsid w:val="00C01029"/>
    <w:rsid w:val="00C0145D"/>
    <w:rsid w:val="00C014F0"/>
    <w:rsid w:val="00C01DA4"/>
    <w:rsid w:val="00C01DCA"/>
    <w:rsid w:val="00C01E81"/>
    <w:rsid w:val="00C02329"/>
    <w:rsid w:val="00C02B1C"/>
    <w:rsid w:val="00C02DDC"/>
    <w:rsid w:val="00C02F0A"/>
    <w:rsid w:val="00C0461D"/>
    <w:rsid w:val="00C05435"/>
    <w:rsid w:val="00C05597"/>
    <w:rsid w:val="00C05669"/>
    <w:rsid w:val="00C058F7"/>
    <w:rsid w:val="00C06682"/>
    <w:rsid w:val="00C066F6"/>
    <w:rsid w:val="00C06C50"/>
    <w:rsid w:val="00C06F10"/>
    <w:rsid w:val="00C0702B"/>
    <w:rsid w:val="00C1013C"/>
    <w:rsid w:val="00C104F0"/>
    <w:rsid w:val="00C1099A"/>
    <w:rsid w:val="00C113AE"/>
    <w:rsid w:val="00C1189D"/>
    <w:rsid w:val="00C12276"/>
    <w:rsid w:val="00C1373A"/>
    <w:rsid w:val="00C13AAC"/>
    <w:rsid w:val="00C13AD4"/>
    <w:rsid w:val="00C13E83"/>
    <w:rsid w:val="00C14426"/>
    <w:rsid w:val="00C1472A"/>
    <w:rsid w:val="00C148AB"/>
    <w:rsid w:val="00C14B29"/>
    <w:rsid w:val="00C15951"/>
    <w:rsid w:val="00C15B1D"/>
    <w:rsid w:val="00C15CA8"/>
    <w:rsid w:val="00C1716F"/>
    <w:rsid w:val="00C173CC"/>
    <w:rsid w:val="00C20707"/>
    <w:rsid w:val="00C207DA"/>
    <w:rsid w:val="00C20BF4"/>
    <w:rsid w:val="00C211BF"/>
    <w:rsid w:val="00C2158E"/>
    <w:rsid w:val="00C21A8C"/>
    <w:rsid w:val="00C22013"/>
    <w:rsid w:val="00C220A2"/>
    <w:rsid w:val="00C22C8F"/>
    <w:rsid w:val="00C2331C"/>
    <w:rsid w:val="00C233D6"/>
    <w:rsid w:val="00C236F7"/>
    <w:rsid w:val="00C24136"/>
    <w:rsid w:val="00C25161"/>
    <w:rsid w:val="00C25B5C"/>
    <w:rsid w:val="00C26864"/>
    <w:rsid w:val="00C26987"/>
    <w:rsid w:val="00C26C86"/>
    <w:rsid w:val="00C26F3B"/>
    <w:rsid w:val="00C27684"/>
    <w:rsid w:val="00C27892"/>
    <w:rsid w:val="00C30297"/>
    <w:rsid w:val="00C30414"/>
    <w:rsid w:val="00C3097A"/>
    <w:rsid w:val="00C30F18"/>
    <w:rsid w:val="00C3143D"/>
    <w:rsid w:val="00C31621"/>
    <w:rsid w:val="00C3198F"/>
    <w:rsid w:val="00C32690"/>
    <w:rsid w:val="00C33082"/>
    <w:rsid w:val="00C33425"/>
    <w:rsid w:val="00C33B65"/>
    <w:rsid w:val="00C33CFD"/>
    <w:rsid w:val="00C34134"/>
    <w:rsid w:val="00C34139"/>
    <w:rsid w:val="00C3478E"/>
    <w:rsid w:val="00C34A19"/>
    <w:rsid w:val="00C34BC9"/>
    <w:rsid w:val="00C34DE9"/>
    <w:rsid w:val="00C35A1B"/>
    <w:rsid w:val="00C35D9C"/>
    <w:rsid w:val="00C36CEF"/>
    <w:rsid w:val="00C37594"/>
    <w:rsid w:val="00C37B34"/>
    <w:rsid w:val="00C37E52"/>
    <w:rsid w:val="00C401E2"/>
    <w:rsid w:val="00C4038C"/>
    <w:rsid w:val="00C412B1"/>
    <w:rsid w:val="00C41A28"/>
    <w:rsid w:val="00C41DB0"/>
    <w:rsid w:val="00C427F6"/>
    <w:rsid w:val="00C4317F"/>
    <w:rsid w:val="00C431E9"/>
    <w:rsid w:val="00C44010"/>
    <w:rsid w:val="00C44274"/>
    <w:rsid w:val="00C44928"/>
    <w:rsid w:val="00C44A69"/>
    <w:rsid w:val="00C44EE6"/>
    <w:rsid w:val="00C456CF"/>
    <w:rsid w:val="00C4664E"/>
    <w:rsid w:val="00C4727E"/>
    <w:rsid w:val="00C474E8"/>
    <w:rsid w:val="00C479BC"/>
    <w:rsid w:val="00C5032E"/>
    <w:rsid w:val="00C50548"/>
    <w:rsid w:val="00C5086C"/>
    <w:rsid w:val="00C5179B"/>
    <w:rsid w:val="00C517E7"/>
    <w:rsid w:val="00C51B1F"/>
    <w:rsid w:val="00C52DF0"/>
    <w:rsid w:val="00C5375F"/>
    <w:rsid w:val="00C53968"/>
    <w:rsid w:val="00C54CF4"/>
    <w:rsid w:val="00C54E0F"/>
    <w:rsid w:val="00C553A5"/>
    <w:rsid w:val="00C570E2"/>
    <w:rsid w:val="00C578CA"/>
    <w:rsid w:val="00C60014"/>
    <w:rsid w:val="00C6048F"/>
    <w:rsid w:val="00C60D58"/>
    <w:rsid w:val="00C60EC9"/>
    <w:rsid w:val="00C611A0"/>
    <w:rsid w:val="00C61532"/>
    <w:rsid w:val="00C615F2"/>
    <w:rsid w:val="00C61B51"/>
    <w:rsid w:val="00C63446"/>
    <w:rsid w:val="00C63502"/>
    <w:rsid w:val="00C6399D"/>
    <w:rsid w:val="00C63CF6"/>
    <w:rsid w:val="00C64464"/>
    <w:rsid w:val="00C648E9"/>
    <w:rsid w:val="00C64AFF"/>
    <w:rsid w:val="00C64F66"/>
    <w:rsid w:val="00C6538B"/>
    <w:rsid w:val="00C66332"/>
    <w:rsid w:val="00C66682"/>
    <w:rsid w:val="00C66BDF"/>
    <w:rsid w:val="00C67B0C"/>
    <w:rsid w:val="00C67D92"/>
    <w:rsid w:val="00C703C8"/>
    <w:rsid w:val="00C7050A"/>
    <w:rsid w:val="00C705B3"/>
    <w:rsid w:val="00C71064"/>
    <w:rsid w:val="00C710E7"/>
    <w:rsid w:val="00C71A13"/>
    <w:rsid w:val="00C72B82"/>
    <w:rsid w:val="00C7468D"/>
    <w:rsid w:val="00C74CFB"/>
    <w:rsid w:val="00C752D6"/>
    <w:rsid w:val="00C753CA"/>
    <w:rsid w:val="00C7580E"/>
    <w:rsid w:val="00C76186"/>
    <w:rsid w:val="00C76541"/>
    <w:rsid w:val="00C76603"/>
    <w:rsid w:val="00C76BA2"/>
    <w:rsid w:val="00C778BD"/>
    <w:rsid w:val="00C77BB8"/>
    <w:rsid w:val="00C80533"/>
    <w:rsid w:val="00C80C37"/>
    <w:rsid w:val="00C80E5F"/>
    <w:rsid w:val="00C817DE"/>
    <w:rsid w:val="00C823C5"/>
    <w:rsid w:val="00C82631"/>
    <w:rsid w:val="00C82774"/>
    <w:rsid w:val="00C82E7B"/>
    <w:rsid w:val="00C832A3"/>
    <w:rsid w:val="00C83C4B"/>
    <w:rsid w:val="00C83C87"/>
    <w:rsid w:val="00C83F57"/>
    <w:rsid w:val="00C849CA"/>
    <w:rsid w:val="00C84B5A"/>
    <w:rsid w:val="00C84C59"/>
    <w:rsid w:val="00C84EFE"/>
    <w:rsid w:val="00C84F4D"/>
    <w:rsid w:val="00C85021"/>
    <w:rsid w:val="00C85423"/>
    <w:rsid w:val="00C85C27"/>
    <w:rsid w:val="00C8636E"/>
    <w:rsid w:val="00C8680E"/>
    <w:rsid w:val="00C90D0F"/>
    <w:rsid w:val="00C91672"/>
    <w:rsid w:val="00C9183E"/>
    <w:rsid w:val="00C918B5"/>
    <w:rsid w:val="00C918BE"/>
    <w:rsid w:val="00C91A4A"/>
    <w:rsid w:val="00C93756"/>
    <w:rsid w:val="00C93B90"/>
    <w:rsid w:val="00C942B4"/>
    <w:rsid w:val="00C946C4"/>
    <w:rsid w:val="00C94756"/>
    <w:rsid w:val="00C94EDA"/>
    <w:rsid w:val="00C9548D"/>
    <w:rsid w:val="00C956F4"/>
    <w:rsid w:val="00C95ACD"/>
    <w:rsid w:val="00C95F1D"/>
    <w:rsid w:val="00C96661"/>
    <w:rsid w:val="00C97146"/>
    <w:rsid w:val="00C97230"/>
    <w:rsid w:val="00C97298"/>
    <w:rsid w:val="00C97419"/>
    <w:rsid w:val="00C97893"/>
    <w:rsid w:val="00C97F4E"/>
    <w:rsid w:val="00CA156D"/>
    <w:rsid w:val="00CA1ABF"/>
    <w:rsid w:val="00CA1C7E"/>
    <w:rsid w:val="00CA1EC0"/>
    <w:rsid w:val="00CA27F9"/>
    <w:rsid w:val="00CA2A7D"/>
    <w:rsid w:val="00CA3EA5"/>
    <w:rsid w:val="00CA407F"/>
    <w:rsid w:val="00CA4652"/>
    <w:rsid w:val="00CA4BB6"/>
    <w:rsid w:val="00CA4E8E"/>
    <w:rsid w:val="00CA5031"/>
    <w:rsid w:val="00CA5A81"/>
    <w:rsid w:val="00CA5CA9"/>
    <w:rsid w:val="00CA6867"/>
    <w:rsid w:val="00CA6BB1"/>
    <w:rsid w:val="00CA6E74"/>
    <w:rsid w:val="00CA7724"/>
    <w:rsid w:val="00CA7844"/>
    <w:rsid w:val="00CB095F"/>
    <w:rsid w:val="00CB0C71"/>
    <w:rsid w:val="00CB109C"/>
    <w:rsid w:val="00CB269E"/>
    <w:rsid w:val="00CB33EB"/>
    <w:rsid w:val="00CB51DE"/>
    <w:rsid w:val="00CB51FE"/>
    <w:rsid w:val="00CB5D1D"/>
    <w:rsid w:val="00CB6543"/>
    <w:rsid w:val="00CB6A5F"/>
    <w:rsid w:val="00CB6D80"/>
    <w:rsid w:val="00CB6F83"/>
    <w:rsid w:val="00CB70B5"/>
    <w:rsid w:val="00CB73F6"/>
    <w:rsid w:val="00CB7618"/>
    <w:rsid w:val="00CC00E3"/>
    <w:rsid w:val="00CC0799"/>
    <w:rsid w:val="00CC0E58"/>
    <w:rsid w:val="00CC16F2"/>
    <w:rsid w:val="00CC18F0"/>
    <w:rsid w:val="00CC224C"/>
    <w:rsid w:val="00CC22A6"/>
    <w:rsid w:val="00CC2343"/>
    <w:rsid w:val="00CC3336"/>
    <w:rsid w:val="00CC515C"/>
    <w:rsid w:val="00CC5AF7"/>
    <w:rsid w:val="00CC5E26"/>
    <w:rsid w:val="00CC66D0"/>
    <w:rsid w:val="00CC717A"/>
    <w:rsid w:val="00CC780B"/>
    <w:rsid w:val="00CC7C60"/>
    <w:rsid w:val="00CD0042"/>
    <w:rsid w:val="00CD056A"/>
    <w:rsid w:val="00CD07B6"/>
    <w:rsid w:val="00CD0A93"/>
    <w:rsid w:val="00CD0EC8"/>
    <w:rsid w:val="00CD146F"/>
    <w:rsid w:val="00CD1FCD"/>
    <w:rsid w:val="00CD20DB"/>
    <w:rsid w:val="00CD274A"/>
    <w:rsid w:val="00CD3053"/>
    <w:rsid w:val="00CD38D6"/>
    <w:rsid w:val="00CD3A7E"/>
    <w:rsid w:val="00CD47D1"/>
    <w:rsid w:val="00CD4D2D"/>
    <w:rsid w:val="00CD7D1E"/>
    <w:rsid w:val="00CE0585"/>
    <w:rsid w:val="00CE103D"/>
    <w:rsid w:val="00CE1150"/>
    <w:rsid w:val="00CE1239"/>
    <w:rsid w:val="00CE1317"/>
    <w:rsid w:val="00CE19D8"/>
    <w:rsid w:val="00CE1BF3"/>
    <w:rsid w:val="00CE1D83"/>
    <w:rsid w:val="00CE1DB0"/>
    <w:rsid w:val="00CE20E9"/>
    <w:rsid w:val="00CE4296"/>
    <w:rsid w:val="00CE5A14"/>
    <w:rsid w:val="00CE5A4F"/>
    <w:rsid w:val="00CE6356"/>
    <w:rsid w:val="00CE65D6"/>
    <w:rsid w:val="00CE7D1A"/>
    <w:rsid w:val="00CF17DD"/>
    <w:rsid w:val="00CF2483"/>
    <w:rsid w:val="00CF40DC"/>
    <w:rsid w:val="00CF508A"/>
    <w:rsid w:val="00CF548B"/>
    <w:rsid w:val="00CF54CC"/>
    <w:rsid w:val="00CF5D68"/>
    <w:rsid w:val="00CF683D"/>
    <w:rsid w:val="00CF68BA"/>
    <w:rsid w:val="00CF6FA9"/>
    <w:rsid w:val="00CF70C8"/>
    <w:rsid w:val="00CF71B5"/>
    <w:rsid w:val="00CF743B"/>
    <w:rsid w:val="00CF752C"/>
    <w:rsid w:val="00CF753A"/>
    <w:rsid w:val="00CF75F9"/>
    <w:rsid w:val="00CF762D"/>
    <w:rsid w:val="00CF7867"/>
    <w:rsid w:val="00CF7886"/>
    <w:rsid w:val="00CF7CBF"/>
    <w:rsid w:val="00CF7E7F"/>
    <w:rsid w:val="00D0123D"/>
    <w:rsid w:val="00D014FB"/>
    <w:rsid w:val="00D01B18"/>
    <w:rsid w:val="00D02DCB"/>
    <w:rsid w:val="00D03B8A"/>
    <w:rsid w:val="00D04909"/>
    <w:rsid w:val="00D051D4"/>
    <w:rsid w:val="00D058FD"/>
    <w:rsid w:val="00D0592D"/>
    <w:rsid w:val="00D05A84"/>
    <w:rsid w:val="00D05B0E"/>
    <w:rsid w:val="00D05C4F"/>
    <w:rsid w:val="00D05DC4"/>
    <w:rsid w:val="00D05F5F"/>
    <w:rsid w:val="00D063EC"/>
    <w:rsid w:val="00D0669F"/>
    <w:rsid w:val="00D06C5E"/>
    <w:rsid w:val="00D06D3E"/>
    <w:rsid w:val="00D07A1A"/>
    <w:rsid w:val="00D07E1F"/>
    <w:rsid w:val="00D10944"/>
    <w:rsid w:val="00D10C45"/>
    <w:rsid w:val="00D10C55"/>
    <w:rsid w:val="00D1103B"/>
    <w:rsid w:val="00D11074"/>
    <w:rsid w:val="00D11125"/>
    <w:rsid w:val="00D11A6D"/>
    <w:rsid w:val="00D124C5"/>
    <w:rsid w:val="00D12538"/>
    <w:rsid w:val="00D12D17"/>
    <w:rsid w:val="00D12FB4"/>
    <w:rsid w:val="00D13101"/>
    <w:rsid w:val="00D133DE"/>
    <w:rsid w:val="00D13428"/>
    <w:rsid w:val="00D139BF"/>
    <w:rsid w:val="00D13A2C"/>
    <w:rsid w:val="00D13BFA"/>
    <w:rsid w:val="00D14098"/>
    <w:rsid w:val="00D14766"/>
    <w:rsid w:val="00D14D70"/>
    <w:rsid w:val="00D1516E"/>
    <w:rsid w:val="00D15196"/>
    <w:rsid w:val="00D15705"/>
    <w:rsid w:val="00D169BA"/>
    <w:rsid w:val="00D1753A"/>
    <w:rsid w:val="00D176DC"/>
    <w:rsid w:val="00D20670"/>
    <w:rsid w:val="00D20E48"/>
    <w:rsid w:val="00D21436"/>
    <w:rsid w:val="00D21831"/>
    <w:rsid w:val="00D229C3"/>
    <w:rsid w:val="00D2543F"/>
    <w:rsid w:val="00D25969"/>
    <w:rsid w:val="00D2626E"/>
    <w:rsid w:val="00D26396"/>
    <w:rsid w:val="00D265ED"/>
    <w:rsid w:val="00D2662E"/>
    <w:rsid w:val="00D2671B"/>
    <w:rsid w:val="00D2731F"/>
    <w:rsid w:val="00D27376"/>
    <w:rsid w:val="00D27836"/>
    <w:rsid w:val="00D27C07"/>
    <w:rsid w:val="00D27CF8"/>
    <w:rsid w:val="00D30147"/>
    <w:rsid w:val="00D302B8"/>
    <w:rsid w:val="00D3080B"/>
    <w:rsid w:val="00D30A8D"/>
    <w:rsid w:val="00D31740"/>
    <w:rsid w:val="00D32C45"/>
    <w:rsid w:val="00D32DFE"/>
    <w:rsid w:val="00D3381A"/>
    <w:rsid w:val="00D3382F"/>
    <w:rsid w:val="00D33A83"/>
    <w:rsid w:val="00D34524"/>
    <w:rsid w:val="00D34D96"/>
    <w:rsid w:val="00D35586"/>
    <w:rsid w:val="00D35890"/>
    <w:rsid w:val="00D35FD9"/>
    <w:rsid w:val="00D37AFA"/>
    <w:rsid w:val="00D37FD1"/>
    <w:rsid w:val="00D40997"/>
    <w:rsid w:val="00D40F4F"/>
    <w:rsid w:val="00D41605"/>
    <w:rsid w:val="00D420A2"/>
    <w:rsid w:val="00D42242"/>
    <w:rsid w:val="00D42C68"/>
    <w:rsid w:val="00D42FAE"/>
    <w:rsid w:val="00D43039"/>
    <w:rsid w:val="00D434D3"/>
    <w:rsid w:val="00D436A2"/>
    <w:rsid w:val="00D439E3"/>
    <w:rsid w:val="00D439E6"/>
    <w:rsid w:val="00D43AE0"/>
    <w:rsid w:val="00D43C7F"/>
    <w:rsid w:val="00D44AE9"/>
    <w:rsid w:val="00D44C28"/>
    <w:rsid w:val="00D456FD"/>
    <w:rsid w:val="00D4570E"/>
    <w:rsid w:val="00D4685E"/>
    <w:rsid w:val="00D472A7"/>
    <w:rsid w:val="00D4766F"/>
    <w:rsid w:val="00D47AE6"/>
    <w:rsid w:val="00D47E09"/>
    <w:rsid w:val="00D50DEC"/>
    <w:rsid w:val="00D50F38"/>
    <w:rsid w:val="00D51726"/>
    <w:rsid w:val="00D51874"/>
    <w:rsid w:val="00D51DE7"/>
    <w:rsid w:val="00D51EFD"/>
    <w:rsid w:val="00D525D7"/>
    <w:rsid w:val="00D526CA"/>
    <w:rsid w:val="00D52C92"/>
    <w:rsid w:val="00D5359C"/>
    <w:rsid w:val="00D5365B"/>
    <w:rsid w:val="00D54824"/>
    <w:rsid w:val="00D54F58"/>
    <w:rsid w:val="00D558DE"/>
    <w:rsid w:val="00D55B47"/>
    <w:rsid w:val="00D55D62"/>
    <w:rsid w:val="00D562D1"/>
    <w:rsid w:val="00D56805"/>
    <w:rsid w:val="00D56E54"/>
    <w:rsid w:val="00D57569"/>
    <w:rsid w:val="00D57AB2"/>
    <w:rsid w:val="00D57CA4"/>
    <w:rsid w:val="00D60376"/>
    <w:rsid w:val="00D6063F"/>
    <w:rsid w:val="00D60A5F"/>
    <w:rsid w:val="00D60BFA"/>
    <w:rsid w:val="00D60E5B"/>
    <w:rsid w:val="00D616C8"/>
    <w:rsid w:val="00D61772"/>
    <w:rsid w:val="00D6195E"/>
    <w:rsid w:val="00D61A70"/>
    <w:rsid w:val="00D62299"/>
    <w:rsid w:val="00D62622"/>
    <w:rsid w:val="00D6402B"/>
    <w:rsid w:val="00D64519"/>
    <w:rsid w:val="00D64853"/>
    <w:rsid w:val="00D64ADB"/>
    <w:rsid w:val="00D64D41"/>
    <w:rsid w:val="00D64DAA"/>
    <w:rsid w:val="00D66A06"/>
    <w:rsid w:val="00D66B99"/>
    <w:rsid w:val="00D66D47"/>
    <w:rsid w:val="00D66F55"/>
    <w:rsid w:val="00D67844"/>
    <w:rsid w:val="00D678F1"/>
    <w:rsid w:val="00D67AD3"/>
    <w:rsid w:val="00D67B7E"/>
    <w:rsid w:val="00D67C46"/>
    <w:rsid w:val="00D700F8"/>
    <w:rsid w:val="00D70280"/>
    <w:rsid w:val="00D703EC"/>
    <w:rsid w:val="00D7046E"/>
    <w:rsid w:val="00D70B4C"/>
    <w:rsid w:val="00D70FCC"/>
    <w:rsid w:val="00D7160F"/>
    <w:rsid w:val="00D71806"/>
    <w:rsid w:val="00D71C33"/>
    <w:rsid w:val="00D72C38"/>
    <w:rsid w:val="00D732B2"/>
    <w:rsid w:val="00D73321"/>
    <w:rsid w:val="00D73981"/>
    <w:rsid w:val="00D739B4"/>
    <w:rsid w:val="00D74C20"/>
    <w:rsid w:val="00D74C93"/>
    <w:rsid w:val="00D75543"/>
    <w:rsid w:val="00D766F7"/>
    <w:rsid w:val="00D7750E"/>
    <w:rsid w:val="00D778D3"/>
    <w:rsid w:val="00D805B8"/>
    <w:rsid w:val="00D805DD"/>
    <w:rsid w:val="00D80B82"/>
    <w:rsid w:val="00D80D65"/>
    <w:rsid w:val="00D81635"/>
    <w:rsid w:val="00D8189E"/>
    <w:rsid w:val="00D81C88"/>
    <w:rsid w:val="00D82AFD"/>
    <w:rsid w:val="00D82DD9"/>
    <w:rsid w:val="00D83360"/>
    <w:rsid w:val="00D83743"/>
    <w:rsid w:val="00D83889"/>
    <w:rsid w:val="00D83D2B"/>
    <w:rsid w:val="00D83D52"/>
    <w:rsid w:val="00D83D69"/>
    <w:rsid w:val="00D844D1"/>
    <w:rsid w:val="00D84A47"/>
    <w:rsid w:val="00D84E1D"/>
    <w:rsid w:val="00D84E2A"/>
    <w:rsid w:val="00D86042"/>
    <w:rsid w:val="00D86357"/>
    <w:rsid w:val="00D8653C"/>
    <w:rsid w:val="00D8663E"/>
    <w:rsid w:val="00D8692F"/>
    <w:rsid w:val="00D86952"/>
    <w:rsid w:val="00D8698C"/>
    <w:rsid w:val="00D87D4A"/>
    <w:rsid w:val="00D90984"/>
    <w:rsid w:val="00D90B29"/>
    <w:rsid w:val="00D91330"/>
    <w:rsid w:val="00D9133A"/>
    <w:rsid w:val="00D91FC4"/>
    <w:rsid w:val="00D925B1"/>
    <w:rsid w:val="00D9266B"/>
    <w:rsid w:val="00D9276B"/>
    <w:rsid w:val="00D92F4D"/>
    <w:rsid w:val="00D931BE"/>
    <w:rsid w:val="00D9372E"/>
    <w:rsid w:val="00D93C85"/>
    <w:rsid w:val="00D93D58"/>
    <w:rsid w:val="00D94362"/>
    <w:rsid w:val="00D94A66"/>
    <w:rsid w:val="00D94D39"/>
    <w:rsid w:val="00D94F33"/>
    <w:rsid w:val="00D95032"/>
    <w:rsid w:val="00D95093"/>
    <w:rsid w:val="00D95244"/>
    <w:rsid w:val="00D9532C"/>
    <w:rsid w:val="00D95CCF"/>
    <w:rsid w:val="00D96BD5"/>
    <w:rsid w:val="00DA0441"/>
    <w:rsid w:val="00DA08D7"/>
    <w:rsid w:val="00DA0B30"/>
    <w:rsid w:val="00DA0B4D"/>
    <w:rsid w:val="00DA15FE"/>
    <w:rsid w:val="00DA16A7"/>
    <w:rsid w:val="00DA188A"/>
    <w:rsid w:val="00DA1FE0"/>
    <w:rsid w:val="00DA2192"/>
    <w:rsid w:val="00DA282F"/>
    <w:rsid w:val="00DA3743"/>
    <w:rsid w:val="00DA3854"/>
    <w:rsid w:val="00DA5619"/>
    <w:rsid w:val="00DA5E63"/>
    <w:rsid w:val="00DA5F88"/>
    <w:rsid w:val="00DA6A0A"/>
    <w:rsid w:val="00DA6A7A"/>
    <w:rsid w:val="00DA71DB"/>
    <w:rsid w:val="00DA72C9"/>
    <w:rsid w:val="00DA762A"/>
    <w:rsid w:val="00DB010E"/>
    <w:rsid w:val="00DB038B"/>
    <w:rsid w:val="00DB07BB"/>
    <w:rsid w:val="00DB0911"/>
    <w:rsid w:val="00DB0A96"/>
    <w:rsid w:val="00DB0E7C"/>
    <w:rsid w:val="00DB0EC4"/>
    <w:rsid w:val="00DB1696"/>
    <w:rsid w:val="00DB16BE"/>
    <w:rsid w:val="00DB26C0"/>
    <w:rsid w:val="00DB2ECF"/>
    <w:rsid w:val="00DB30BC"/>
    <w:rsid w:val="00DB33A0"/>
    <w:rsid w:val="00DB3623"/>
    <w:rsid w:val="00DB3CCD"/>
    <w:rsid w:val="00DB3CEE"/>
    <w:rsid w:val="00DB3E44"/>
    <w:rsid w:val="00DB4285"/>
    <w:rsid w:val="00DB4982"/>
    <w:rsid w:val="00DB555E"/>
    <w:rsid w:val="00DB6068"/>
    <w:rsid w:val="00DB61C9"/>
    <w:rsid w:val="00DB66C7"/>
    <w:rsid w:val="00DB7D0A"/>
    <w:rsid w:val="00DB7E62"/>
    <w:rsid w:val="00DC062A"/>
    <w:rsid w:val="00DC077A"/>
    <w:rsid w:val="00DC0B84"/>
    <w:rsid w:val="00DC25E5"/>
    <w:rsid w:val="00DC3818"/>
    <w:rsid w:val="00DC4466"/>
    <w:rsid w:val="00DC55AD"/>
    <w:rsid w:val="00DC5AAB"/>
    <w:rsid w:val="00DC5D6D"/>
    <w:rsid w:val="00DC61BE"/>
    <w:rsid w:val="00DC630C"/>
    <w:rsid w:val="00DC6638"/>
    <w:rsid w:val="00DC6D4F"/>
    <w:rsid w:val="00DC6EB3"/>
    <w:rsid w:val="00DC7015"/>
    <w:rsid w:val="00DC7377"/>
    <w:rsid w:val="00DC74A5"/>
    <w:rsid w:val="00DC7DA8"/>
    <w:rsid w:val="00DD03F2"/>
    <w:rsid w:val="00DD0548"/>
    <w:rsid w:val="00DD0C4E"/>
    <w:rsid w:val="00DD10F8"/>
    <w:rsid w:val="00DD1162"/>
    <w:rsid w:val="00DD1DDF"/>
    <w:rsid w:val="00DD204C"/>
    <w:rsid w:val="00DD2213"/>
    <w:rsid w:val="00DD2275"/>
    <w:rsid w:val="00DD2C63"/>
    <w:rsid w:val="00DD2EC3"/>
    <w:rsid w:val="00DD2EC8"/>
    <w:rsid w:val="00DD3097"/>
    <w:rsid w:val="00DD3123"/>
    <w:rsid w:val="00DD327C"/>
    <w:rsid w:val="00DD429A"/>
    <w:rsid w:val="00DD4323"/>
    <w:rsid w:val="00DD44C8"/>
    <w:rsid w:val="00DD4C1C"/>
    <w:rsid w:val="00DD4F47"/>
    <w:rsid w:val="00DD50F0"/>
    <w:rsid w:val="00DD584A"/>
    <w:rsid w:val="00DD5938"/>
    <w:rsid w:val="00DD5C39"/>
    <w:rsid w:val="00DD5D53"/>
    <w:rsid w:val="00DD5F25"/>
    <w:rsid w:val="00DD628F"/>
    <w:rsid w:val="00DD672E"/>
    <w:rsid w:val="00DD7368"/>
    <w:rsid w:val="00DE036F"/>
    <w:rsid w:val="00DE0BF5"/>
    <w:rsid w:val="00DE0E4E"/>
    <w:rsid w:val="00DE15C5"/>
    <w:rsid w:val="00DE1681"/>
    <w:rsid w:val="00DE1727"/>
    <w:rsid w:val="00DE1C5D"/>
    <w:rsid w:val="00DE27F7"/>
    <w:rsid w:val="00DE36ED"/>
    <w:rsid w:val="00DE3868"/>
    <w:rsid w:val="00DE3B7F"/>
    <w:rsid w:val="00DE3D3D"/>
    <w:rsid w:val="00DE3EA4"/>
    <w:rsid w:val="00DE427E"/>
    <w:rsid w:val="00DE4842"/>
    <w:rsid w:val="00DE4BF7"/>
    <w:rsid w:val="00DE594D"/>
    <w:rsid w:val="00DE5A3A"/>
    <w:rsid w:val="00DE5A66"/>
    <w:rsid w:val="00DE73AB"/>
    <w:rsid w:val="00DE74C0"/>
    <w:rsid w:val="00DF02EA"/>
    <w:rsid w:val="00DF08B6"/>
    <w:rsid w:val="00DF0D88"/>
    <w:rsid w:val="00DF1176"/>
    <w:rsid w:val="00DF18DC"/>
    <w:rsid w:val="00DF2327"/>
    <w:rsid w:val="00DF2F66"/>
    <w:rsid w:val="00DF3407"/>
    <w:rsid w:val="00DF3C71"/>
    <w:rsid w:val="00DF4231"/>
    <w:rsid w:val="00DF4F25"/>
    <w:rsid w:val="00DF64D9"/>
    <w:rsid w:val="00DF6781"/>
    <w:rsid w:val="00DF7420"/>
    <w:rsid w:val="00DF7987"/>
    <w:rsid w:val="00DF7CC5"/>
    <w:rsid w:val="00E003C8"/>
    <w:rsid w:val="00E00595"/>
    <w:rsid w:val="00E00854"/>
    <w:rsid w:val="00E01DF1"/>
    <w:rsid w:val="00E02001"/>
    <w:rsid w:val="00E0216F"/>
    <w:rsid w:val="00E021AB"/>
    <w:rsid w:val="00E02256"/>
    <w:rsid w:val="00E02D3E"/>
    <w:rsid w:val="00E03317"/>
    <w:rsid w:val="00E033B3"/>
    <w:rsid w:val="00E034EA"/>
    <w:rsid w:val="00E03538"/>
    <w:rsid w:val="00E04C5B"/>
    <w:rsid w:val="00E05524"/>
    <w:rsid w:val="00E05E10"/>
    <w:rsid w:val="00E06788"/>
    <w:rsid w:val="00E06D9F"/>
    <w:rsid w:val="00E06DA9"/>
    <w:rsid w:val="00E07178"/>
    <w:rsid w:val="00E071E8"/>
    <w:rsid w:val="00E0722D"/>
    <w:rsid w:val="00E07662"/>
    <w:rsid w:val="00E07902"/>
    <w:rsid w:val="00E07C73"/>
    <w:rsid w:val="00E07D12"/>
    <w:rsid w:val="00E1014E"/>
    <w:rsid w:val="00E10E99"/>
    <w:rsid w:val="00E10EF7"/>
    <w:rsid w:val="00E10F95"/>
    <w:rsid w:val="00E110CE"/>
    <w:rsid w:val="00E11114"/>
    <w:rsid w:val="00E112D6"/>
    <w:rsid w:val="00E1140A"/>
    <w:rsid w:val="00E11702"/>
    <w:rsid w:val="00E120F8"/>
    <w:rsid w:val="00E12CA0"/>
    <w:rsid w:val="00E1305C"/>
    <w:rsid w:val="00E14307"/>
    <w:rsid w:val="00E14C32"/>
    <w:rsid w:val="00E14E6F"/>
    <w:rsid w:val="00E15705"/>
    <w:rsid w:val="00E15961"/>
    <w:rsid w:val="00E15CD7"/>
    <w:rsid w:val="00E16171"/>
    <w:rsid w:val="00E165B7"/>
    <w:rsid w:val="00E1696D"/>
    <w:rsid w:val="00E1725E"/>
    <w:rsid w:val="00E17926"/>
    <w:rsid w:val="00E17A08"/>
    <w:rsid w:val="00E212E5"/>
    <w:rsid w:val="00E216C4"/>
    <w:rsid w:val="00E21D5F"/>
    <w:rsid w:val="00E21ED8"/>
    <w:rsid w:val="00E22343"/>
    <w:rsid w:val="00E223B7"/>
    <w:rsid w:val="00E22ACC"/>
    <w:rsid w:val="00E22FAD"/>
    <w:rsid w:val="00E23750"/>
    <w:rsid w:val="00E23A6C"/>
    <w:rsid w:val="00E244D0"/>
    <w:rsid w:val="00E24D37"/>
    <w:rsid w:val="00E25472"/>
    <w:rsid w:val="00E257A4"/>
    <w:rsid w:val="00E263F9"/>
    <w:rsid w:val="00E26524"/>
    <w:rsid w:val="00E26AD3"/>
    <w:rsid w:val="00E2767B"/>
    <w:rsid w:val="00E2774E"/>
    <w:rsid w:val="00E27CC5"/>
    <w:rsid w:val="00E27CFF"/>
    <w:rsid w:val="00E3012B"/>
    <w:rsid w:val="00E3107A"/>
    <w:rsid w:val="00E316C0"/>
    <w:rsid w:val="00E317FB"/>
    <w:rsid w:val="00E31F55"/>
    <w:rsid w:val="00E336F8"/>
    <w:rsid w:val="00E3505D"/>
    <w:rsid w:val="00E36375"/>
    <w:rsid w:val="00E36394"/>
    <w:rsid w:val="00E37F8C"/>
    <w:rsid w:val="00E4091A"/>
    <w:rsid w:val="00E409FD"/>
    <w:rsid w:val="00E40CC0"/>
    <w:rsid w:val="00E41640"/>
    <w:rsid w:val="00E4167A"/>
    <w:rsid w:val="00E424B1"/>
    <w:rsid w:val="00E42AB6"/>
    <w:rsid w:val="00E43AED"/>
    <w:rsid w:val="00E43E37"/>
    <w:rsid w:val="00E442EE"/>
    <w:rsid w:val="00E444EB"/>
    <w:rsid w:val="00E446FE"/>
    <w:rsid w:val="00E45D9D"/>
    <w:rsid w:val="00E4613B"/>
    <w:rsid w:val="00E474BA"/>
    <w:rsid w:val="00E4784D"/>
    <w:rsid w:val="00E503BF"/>
    <w:rsid w:val="00E504F4"/>
    <w:rsid w:val="00E51C71"/>
    <w:rsid w:val="00E51D71"/>
    <w:rsid w:val="00E5208C"/>
    <w:rsid w:val="00E52CF4"/>
    <w:rsid w:val="00E52D88"/>
    <w:rsid w:val="00E54768"/>
    <w:rsid w:val="00E54931"/>
    <w:rsid w:val="00E54B9E"/>
    <w:rsid w:val="00E54CB1"/>
    <w:rsid w:val="00E54DC3"/>
    <w:rsid w:val="00E553A5"/>
    <w:rsid w:val="00E556EE"/>
    <w:rsid w:val="00E5703F"/>
    <w:rsid w:val="00E60F72"/>
    <w:rsid w:val="00E6109C"/>
    <w:rsid w:val="00E61140"/>
    <w:rsid w:val="00E61331"/>
    <w:rsid w:val="00E61385"/>
    <w:rsid w:val="00E618D5"/>
    <w:rsid w:val="00E61DCE"/>
    <w:rsid w:val="00E61E21"/>
    <w:rsid w:val="00E62FDC"/>
    <w:rsid w:val="00E63656"/>
    <w:rsid w:val="00E639B6"/>
    <w:rsid w:val="00E63A77"/>
    <w:rsid w:val="00E643BE"/>
    <w:rsid w:val="00E646DF"/>
    <w:rsid w:val="00E65230"/>
    <w:rsid w:val="00E654FD"/>
    <w:rsid w:val="00E65F1D"/>
    <w:rsid w:val="00E6618C"/>
    <w:rsid w:val="00E6660D"/>
    <w:rsid w:val="00E66A85"/>
    <w:rsid w:val="00E66E9F"/>
    <w:rsid w:val="00E66F32"/>
    <w:rsid w:val="00E67073"/>
    <w:rsid w:val="00E6725F"/>
    <w:rsid w:val="00E67AF0"/>
    <w:rsid w:val="00E67D88"/>
    <w:rsid w:val="00E70415"/>
    <w:rsid w:val="00E70E53"/>
    <w:rsid w:val="00E70EED"/>
    <w:rsid w:val="00E71114"/>
    <w:rsid w:val="00E719C9"/>
    <w:rsid w:val="00E71D0E"/>
    <w:rsid w:val="00E71D88"/>
    <w:rsid w:val="00E727DF"/>
    <w:rsid w:val="00E7295E"/>
    <w:rsid w:val="00E73179"/>
    <w:rsid w:val="00E736A1"/>
    <w:rsid w:val="00E73B97"/>
    <w:rsid w:val="00E73BC1"/>
    <w:rsid w:val="00E73BE1"/>
    <w:rsid w:val="00E73EE5"/>
    <w:rsid w:val="00E74A57"/>
    <w:rsid w:val="00E74BD5"/>
    <w:rsid w:val="00E750E3"/>
    <w:rsid w:val="00E752E2"/>
    <w:rsid w:val="00E759E7"/>
    <w:rsid w:val="00E761DF"/>
    <w:rsid w:val="00E7624D"/>
    <w:rsid w:val="00E76666"/>
    <w:rsid w:val="00E76DB1"/>
    <w:rsid w:val="00E77366"/>
    <w:rsid w:val="00E77695"/>
    <w:rsid w:val="00E779C2"/>
    <w:rsid w:val="00E77BB4"/>
    <w:rsid w:val="00E77BED"/>
    <w:rsid w:val="00E81B9D"/>
    <w:rsid w:val="00E82A23"/>
    <w:rsid w:val="00E82B2C"/>
    <w:rsid w:val="00E833D3"/>
    <w:rsid w:val="00E83CA6"/>
    <w:rsid w:val="00E84123"/>
    <w:rsid w:val="00E84266"/>
    <w:rsid w:val="00E85AF6"/>
    <w:rsid w:val="00E85F31"/>
    <w:rsid w:val="00E861A3"/>
    <w:rsid w:val="00E86669"/>
    <w:rsid w:val="00E868E8"/>
    <w:rsid w:val="00E8718E"/>
    <w:rsid w:val="00E904F0"/>
    <w:rsid w:val="00E90A68"/>
    <w:rsid w:val="00E914FE"/>
    <w:rsid w:val="00E915AD"/>
    <w:rsid w:val="00E91DE7"/>
    <w:rsid w:val="00E91F2E"/>
    <w:rsid w:val="00E92D33"/>
    <w:rsid w:val="00E93B3D"/>
    <w:rsid w:val="00E93D1E"/>
    <w:rsid w:val="00E93E8C"/>
    <w:rsid w:val="00E941EA"/>
    <w:rsid w:val="00E94E9C"/>
    <w:rsid w:val="00E9570B"/>
    <w:rsid w:val="00E95941"/>
    <w:rsid w:val="00E95AB4"/>
    <w:rsid w:val="00E95C9B"/>
    <w:rsid w:val="00E95ECF"/>
    <w:rsid w:val="00E960CB"/>
    <w:rsid w:val="00E960E9"/>
    <w:rsid w:val="00E96C2E"/>
    <w:rsid w:val="00E96DC0"/>
    <w:rsid w:val="00E97128"/>
    <w:rsid w:val="00E971A1"/>
    <w:rsid w:val="00E97809"/>
    <w:rsid w:val="00E9783A"/>
    <w:rsid w:val="00E97C11"/>
    <w:rsid w:val="00EA01D5"/>
    <w:rsid w:val="00EA0303"/>
    <w:rsid w:val="00EA0D63"/>
    <w:rsid w:val="00EA0EBB"/>
    <w:rsid w:val="00EA107D"/>
    <w:rsid w:val="00EA151D"/>
    <w:rsid w:val="00EA19B6"/>
    <w:rsid w:val="00EA1A80"/>
    <w:rsid w:val="00EA1EF0"/>
    <w:rsid w:val="00EA23B0"/>
    <w:rsid w:val="00EA2C0B"/>
    <w:rsid w:val="00EA2C88"/>
    <w:rsid w:val="00EA2CF7"/>
    <w:rsid w:val="00EA2D7E"/>
    <w:rsid w:val="00EA402F"/>
    <w:rsid w:val="00EA466D"/>
    <w:rsid w:val="00EA4C0B"/>
    <w:rsid w:val="00EA4F0C"/>
    <w:rsid w:val="00EA56E7"/>
    <w:rsid w:val="00EA5D26"/>
    <w:rsid w:val="00EA674F"/>
    <w:rsid w:val="00EA68AC"/>
    <w:rsid w:val="00EA6D63"/>
    <w:rsid w:val="00EA6F22"/>
    <w:rsid w:val="00EA7A35"/>
    <w:rsid w:val="00EB113B"/>
    <w:rsid w:val="00EB12FF"/>
    <w:rsid w:val="00EB13EC"/>
    <w:rsid w:val="00EB1C0B"/>
    <w:rsid w:val="00EB2035"/>
    <w:rsid w:val="00EB27E3"/>
    <w:rsid w:val="00EB2D65"/>
    <w:rsid w:val="00EB3984"/>
    <w:rsid w:val="00EB3B83"/>
    <w:rsid w:val="00EB3F78"/>
    <w:rsid w:val="00EB4151"/>
    <w:rsid w:val="00EB47DF"/>
    <w:rsid w:val="00EB5227"/>
    <w:rsid w:val="00EB5697"/>
    <w:rsid w:val="00EB62B0"/>
    <w:rsid w:val="00EB62EA"/>
    <w:rsid w:val="00EB67AC"/>
    <w:rsid w:val="00EB6B6A"/>
    <w:rsid w:val="00EC01E6"/>
    <w:rsid w:val="00EC0240"/>
    <w:rsid w:val="00EC0D32"/>
    <w:rsid w:val="00EC105E"/>
    <w:rsid w:val="00EC1448"/>
    <w:rsid w:val="00EC1FC9"/>
    <w:rsid w:val="00EC219B"/>
    <w:rsid w:val="00EC2403"/>
    <w:rsid w:val="00EC2824"/>
    <w:rsid w:val="00EC2DAA"/>
    <w:rsid w:val="00EC2F96"/>
    <w:rsid w:val="00EC3443"/>
    <w:rsid w:val="00EC36AD"/>
    <w:rsid w:val="00EC3CE5"/>
    <w:rsid w:val="00EC3D85"/>
    <w:rsid w:val="00EC3FEC"/>
    <w:rsid w:val="00EC44A6"/>
    <w:rsid w:val="00EC4743"/>
    <w:rsid w:val="00EC48B6"/>
    <w:rsid w:val="00EC4B8B"/>
    <w:rsid w:val="00EC546C"/>
    <w:rsid w:val="00EC55FE"/>
    <w:rsid w:val="00EC58D0"/>
    <w:rsid w:val="00EC60EA"/>
    <w:rsid w:val="00EC6216"/>
    <w:rsid w:val="00EC6456"/>
    <w:rsid w:val="00EC736B"/>
    <w:rsid w:val="00EC7B34"/>
    <w:rsid w:val="00EC7D03"/>
    <w:rsid w:val="00ED0897"/>
    <w:rsid w:val="00ED092B"/>
    <w:rsid w:val="00ED0E26"/>
    <w:rsid w:val="00ED0E7E"/>
    <w:rsid w:val="00ED1FC6"/>
    <w:rsid w:val="00ED24C5"/>
    <w:rsid w:val="00ED4207"/>
    <w:rsid w:val="00ED4208"/>
    <w:rsid w:val="00ED4574"/>
    <w:rsid w:val="00ED46D2"/>
    <w:rsid w:val="00ED4A0A"/>
    <w:rsid w:val="00ED5054"/>
    <w:rsid w:val="00ED52D6"/>
    <w:rsid w:val="00ED71D3"/>
    <w:rsid w:val="00ED751B"/>
    <w:rsid w:val="00EE1EC3"/>
    <w:rsid w:val="00EE2316"/>
    <w:rsid w:val="00EE2C10"/>
    <w:rsid w:val="00EE2DA3"/>
    <w:rsid w:val="00EE3DB9"/>
    <w:rsid w:val="00EE3FFB"/>
    <w:rsid w:val="00EE422F"/>
    <w:rsid w:val="00EE4703"/>
    <w:rsid w:val="00EE49D8"/>
    <w:rsid w:val="00EE5BA6"/>
    <w:rsid w:val="00EE5F33"/>
    <w:rsid w:val="00EE651D"/>
    <w:rsid w:val="00EE65D2"/>
    <w:rsid w:val="00EE71B5"/>
    <w:rsid w:val="00EE7769"/>
    <w:rsid w:val="00EE7888"/>
    <w:rsid w:val="00EE7EE6"/>
    <w:rsid w:val="00EF07DB"/>
    <w:rsid w:val="00EF0C19"/>
    <w:rsid w:val="00EF1952"/>
    <w:rsid w:val="00EF1C49"/>
    <w:rsid w:val="00EF2654"/>
    <w:rsid w:val="00EF2976"/>
    <w:rsid w:val="00EF2C32"/>
    <w:rsid w:val="00EF2EC7"/>
    <w:rsid w:val="00EF3664"/>
    <w:rsid w:val="00EF36B6"/>
    <w:rsid w:val="00EF3ACC"/>
    <w:rsid w:val="00EF4353"/>
    <w:rsid w:val="00EF4406"/>
    <w:rsid w:val="00EF4B94"/>
    <w:rsid w:val="00EF51EA"/>
    <w:rsid w:val="00EF5245"/>
    <w:rsid w:val="00EF527E"/>
    <w:rsid w:val="00EF53AA"/>
    <w:rsid w:val="00EF5461"/>
    <w:rsid w:val="00EF580F"/>
    <w:rsid w:val="00EF5A49"/>
    <w:rsid w:val="00EF60CE"/>
    <w:rsid w:val="00EF6BDD"/>
    <w:rsid w:val="00EF706D"/>
    <w:rsid w:val="00EF78DC"/>
    <w:rsid w:val="00EF7B73"/>
    <w:rsid w:val="00EF7BD1"/>
    <w:rsid w:val="00F001C2"/>
    <w:rsid w:val="00F00D26"/>
    <w:rsid w:val="00F00E1B"/>
    <w:rsid w:val="00F0101B"/>
    <w:rsid w:val="00F016DB"/>
    <w:rsid w:val="00F01C5C"/>
    <w:rsid w:val="00F01EA7"/>
    <w:rsid w:val="00F02768"/>
    <w:rsid w:val="00F036AF"/>
    <w:rsid w:val="00F042EE"/>
    <w:rsid w:val="00F052A9"/>
    <w:rsid w:val="00F056AA"/>
    <w:rsid w:val="00F057BE"/>
    <w:rsid w:val="00F06089"/>
    <w:rsid w:val="00F0622A"/>
    <w:rsid w:val="00F064A8"/>
    <w:rsid w:val="00F07369"/>
    <w:rsid w:val="00F0770E"/>
    <w:rsid w:val="00F077E4"/>
    <w:rsid w:val="00F07880"/>
    <w:rsid w:val="00F07B0F"/>
    <w:rsid w:val="00F07B69"/>
    <w:rsid w:val="00F10075"/>
    <w:rsid w:val="00F10673"/>
    <w:rsid w:val="00F10BFF"/>
    <w:rsid w:val="00F10D34"/>
    <w:rsid w:val="00F11816"/>
    <w:rsid w:val="00F12A27"/>
    <w:rsid w:val="00F12F7C"/>
    <w:rsid w:val="00F13859"/>
    <w:rsid w:val="00F13BAE"/>
    <w:rsid w:val="00F151E8"/>
    <w:rsid w:val="00F155E6"/>
    <w:rsid w:val="00F15764"/>
    <w:rsid w:val="00F15800"/>
    <w:rsid w:val="00F15A8D"/>
    <w:rsid w:val="00F16C5E"/>
    <w:rsid w:val="00F176EA"/>
    <w:rsid w:val="00F17B9B"/>
    <w:rsid w:val="00F20585"/>
    <w:rsid w:val="00F20741"/>
    <w:rsid w:val="00F20DFE"/>
    <w:rsid w:val="00F220BD"/>
    <w:rsid w:val="00F2290A"/>
    <w:rsid w:val="00F23115"/>
    <w:rsid w:val="00F24660"/>
    <w:rsid w:val="00F2493C"/>
    <w:rsid w:val="00F24B0E"/>
    <w:rsid w:val="00F25779"/>
    <w:rsid w:val="00F25F78"/>
    <w:rsid w:val="00F269DA"/>
    <w:rsid w:val="00F271D8"/>
    <w:rsid w:val="00F2759A"/>
    <w:rsid w:val="00F27BB5"/>
    <w:rsid w:val="00F27EFA"/>
    <w:rsid w:val="00F30C67"/>
    <w:rsid w:val="00F30E1D"/>
    <w:rsid w:val="00F3147A"/>
    <w:rsid w:val="00F31534"/>
    <w:rsid w:val="00F31791"/>
    <w:rsid w:val="00F31A26"/>
    <w:rsid w:val="00F3201F"/>
    <w:rsid w:val="00F32228"/>
    <w:rsid w:val="00F32292"/>
    <w:rsid w:val="00F3235A"/>
    <w:rsid w:val="00F32678"/>
    <w:rsid w:val="00F32FB2"/>
    <w:rsid w:val="00F3308A"/>
    <w:rsid w:val="00F33A34"/>
    <w:rsid w:val="00F33F0D"/>
    <w:rsid w:val="00F34003"/>
    <w:rsid w:val="00F3403C"/>
    <w:rsid w:val="00F349A0"/>
    <w:rsid w:val="00F34AC5"/>
    <w:rsid w:val="00F34AFB"/>
    <w:rsid w:val="00F3521B"/>
    <w:rsid w:val="00F352AD"/>
    <w:rsid w:val="00F3536D"/>
    <w:rsid w:val="00F35A63"/>
    <w:rsid w:val="00F36663"/>
    <w:rsid w:val="00F376BC"/>
    <w:rsid w:val="00F37B47"/>
    <w:rsid w:val="00F413C1"/>
    <w:rsid w:val="00F4166F"/>
    <w:rsid w:val="00F4177C"/>
    <w:rsid w:val="00F417B0"/>
    <w:rsid w:val="00F41B99"/>
    <w:rsid w:val="00F41F22"/>
    <w:rsid w:val="00F41F4C"/>
    <w:rsid w:val="00F421C5"/>
    <w:rsid w:val="00F4338D"/>
    <w:rsid w:val="00F43484"/>
    <w:rsid w:val="00F43DA9"/>
    <w:rsid w:val="00F4438D"/>
    <w:rsid w:val="00F44412"/>
    <w:rsid w:val="00F44927"/>
    <w:rsid w:val="00F44AE5"/>
    <w:rsid w:val="00F450C5"/>
    <w:rsid w:val="00F456B5"/>
    <w:rsid w:val="00F45B75"/>
    <w:rsid w:val="00F45E45"/>
    <w:rsid w:val="00F46598"/>
    <w:rsid w:val="00F468BF"/>
    <w:rsid w:val="00F46D05"/>
    <w:rsid w:val="00F46F34"/>
    <w:rsid w:val="00F4708B"/>
    <w:rsid w:val="00F472B6"/>
    <w:rsid w:val="00F47481"/>
    <w:rsid w:val="00F4771A"/>
    <w:rsid w:val="00F500F8"/>
    <w:rsid w:val="00F50272"/>
    <w:rsid w:val="00F520A5"/>
    <w:rsid w:val="00F520FE"/>
    <w:rsid w:val="00F5248E"/>
    <w:rsid w:val="00F52707"/>
    <w:rsid w:val="00F52F38"/>
    <w:rsid w:val="00F53CA2"/>
    <w:rsid w:val="00F53CE2"/>
    <w:rsid w:val="00F5440A"/>
    <w:rsid w:val="00F54AB6"/>
    <w:rsid w:val="00F54C33"/>
    <w:rsid w:val="00F54CCF"/>
    <w:rsid w:val="00F54E18"/>
    <w:rsid w:val="00F54EC1"/>
    <w:rsid w:val="00F559EA"/>
    <w:rsid w:val="00F55B68"/>
    <w:rsid w:val="00F57053"/>
    <w:rsid w:val="00F575B5"/>
    <w:rsid w:val="00F57D71"/>
    <w:rsid w:val="00F6008E"/>
    <w:rsid w:val="00F600DD"/>
    <w:rsid w:val="00F6022A"/>
    <w:rsid w:val="00F60821"/>
    <w:rsid w:val="00F60A2C"/>
    <w:rsid w:val="00F60D81"/>
    <w:rsid w:val="00F61187"/>
    <w:rsid w:val="00F6176E"/>
    <w:rsid w:val="00F61D0B"/>
    <w:rsid w:val="00F6243B"/>
    <w:rsid w:val="00F6283D"/>
    <w:rsid w:val="00F628D9"/>
    <w:rsid w:val="00F62988"/>
    <w:rsid w:val="00F629DA"/>
    <w:rsid w:val="00F62C88"/>
    <w:rsid w:val="00F635EA"/>
    <w:rsid w:val="00F637E9"/>
    <w:rsid w:val="00F64C10"/>
    <w:rsid w:val="00F650A7"/>
    <w:rsid w:val="00F65865"/>
    <w:rsid w:val="00F65E55"/>
    <w:rsid w:val="00F66404"/>
    <w:rsid w:val="00F664EC"/>
    <w:rsid w:val="00F66F88"/>
    <w:rsid w:val="00F672B7"/>
    <w:rsid w:val="00F6745B"/>
    <w:rsid w:val="00F7009F"/>
    <w:rsid w:val="00F708EF"/>
    <w:rsid w:val="00F711BB"/>
    <w:rsid w:val="00F7168F"/>
    <w:rsid w:val="00F71A21"/>
    <w:rsid w:val="00F71AD3"/>
    <w:rsid w:val="00F720E5"/>
    <w:rsid w:val="00F722E4"/>
    <w:rsid w:val="00F72453"/>
    <w:rsid w:val="00F72458"/>
    <w:rsid w:val="00F72757"/>
    <w:rsid w:val="00F72C1E"/>
    <w:rsid w:val="00F7348E"/>
    <w:rsid w:val="00F738CF"/>
    <w:rsid w:val="00F747DA"/>
    <w:rsid w:val="00F74A17"/>
    <w:rsid w:val="00F74E42"/>
    <w:rsid w:val="00F75087"/>
    <w:rsid w:val="00F75743"/>
    <w:rsid w:val="00F75B87"/>
    <w:rsid w:val="00F75BD3"/>
    <w:rsid w:val="00F76135"/>
    <w:rsid w:val="00F761AC"/>
    <w:rsid w:val="00F76392"/>
    <w:rsid w:val="00F76493"/>
    <w:rsid w:val="00F76A39"/>
    <w:rsid w:val="00F76A79"/>
    <w:rsid w:val="00F76B16"/>
    <w:rsid w:val="00F76B1D"/>
    <w:rsid w:val="00F77C3D"/>
    <w:rsid w:val="00F80531"/>
    <w:rsid w:val="00F80564"/>
    <w:rsid w:val="00F80806"/>
    <w:rsid w:val="00F808AF"/>
    <w:rsid w:val="00F80BBA"/>
    <w:rsid w:val="00F80D11"/>
    <w:rsid w:val="00F80E44"/>
    <w:rsid w:val="00F80ECB"/>
    <w:rsid w:val="00F80EE5"/>
    <w:rsid w:val="00F80F4F"/>
    <w:rsid w:val="00F8215A"/>
    <w:rsid w:val="00F822F6"/>
    <w:rsid w:val="00F82617"/>
    <w:rsid w:val="00F82921"/>
    <w:rsid w:val="00F82B92"/>
    <w:rsid w:val="00F82C5F"/>
    <w:rsid w:val="00F83158"/>
    <w:rsid w:val="00F83C84"/>
    <w:rsid w:val="00F851CA"/>
    <w:rsid w:val="00F8559F"/>
    <w:rsid w:val="00F86B7A"/>
    <w:rsid w:val="00F87165"/>
    <w:rsid w:val="00F87A01"/>
    <w:rsid w:val="00F902DF"/>
    <w:rsid w:val="00F9092B"/>
    <w:rsid w:val="00F910CA"/>
    <w:rsid w:val="00F9118B"/>
    <w:rsid w:val="00F91B41"/>
    <w:rsid w:val="00F91BCC"/>
    <w:rsid w:val="00F92127"/>
    <w:rsid w:val="00F92BEC"/>
    <w:rsid w:val="00F93268"/>
    <w:rsid w:val="00F9340E"/>
    <w:rsid w:val="00F935DA"/>
    <w:rsid w:val="00F93852"/>
    <w:rsid w:val="00F93BE4"/>
    <w:rsid w:val="00F949B9"/>
    <w:rsid w:val="00F94FEF"/>
    <w:rsid w:val="00F95AEE"/>
    <w:rsid w:val="00F963EF"/>
    <w:rsid w:val="00F96CB3"/>
    <w:rsid w:val="00F9702B"/>
    <w:rsid w:val="00F9708F"/>
    <w:rsid w:val="00F971EC"/>
    <w:rsid w:val="00F977D5"/>
    <w:rsid w:val="00F97DD7"/>
    <w:rsid w:val="00FA0839"/>
    <w:rsid w:val="00FA0AB9"/>
    <w:rsid w:val="00FA0ED6"/>
    <w:rsid w:val="00FA1670"/>
    <w:rsid w:val="00FA2A7E"/>
    <w:rsid w:val="00FA2BAF"/>
    <w:rsid w:val="00FA2C21"/>
    <w:rsid w:val="00FA3024"/>
    <w:rsid w:val="00FA3225"/>
    <w:rsid w:val="00FA341E"/>
    <w:rsid w:val="00FA387B"/>
    <w:rsid w:val="00FA39B7"/>
    <w:rsid w:val="00FA3D8E"/>
    <w:rsid w:val="00FA455A"/>
    <w:rsid w:val="00FA4D78"/>
    <w:rsid w:val="00FA5EAC"/>
    <w:rsid w:val="00FA6BCB"/>
    <w:rsid w:val="00FA71D9"/>
    <w:rsid w:val="00FA7505"/>
    <w:rsid w:val="00FA76F2"/>
    <w:rsid w:val="00FA7985"/>
    <w:rsid w:val="00FB00A0"/>
    <w:rsid w:val="00FB03E7"/>
    <w:rsid w:val="00FB0A36"/>
    <w:rsid w:val="00FB0CDA"/>
    <w:rsid w:val="00FB0F1A"/>
    <w:rsid w:val="00FB1CB8"/>
    <w:rsid w:val="00FB1DC6"/>
    <w:rsid w:val="00FB1F10"/>
    <w:rsid w:val="00FB28BE"/>
    <w:rsid w:val="00FB3168"/>
    <w:rsid w:val="00FB321A"/>
    <w:rsid w:val="00FB3BF4"/>
    <w:rsid w:val="00FB46E4"/>
    <w:rsid w:val="00FB4CFA"/>
    <w:rsid w:val="00FB52E0"/>
    <w:rsid w:val="00FB6236"/>
    <w:rsid w:val="00FB6769"/>
    <w:rsid w:val="00FB697C"/>
    <w:rsid w:val="00FB70A0"/>
    <w:rsid w:val="00FB73F9"/>
    <w:rsid w:val="00FB7C2A"/>
    <w:rsid w:val="00FC0C08"/>
    <w:rsid w:val="00FC0C92"/>
    <w:rsid w:val="00FC11E9"/>
    <w:rsid w:val="00FC14AD"/>
    <w:rsid w:val="00FC1799"/>
    <w:rsid w:val="00FC1837"/>
    <w:rsid w:val="00FC1854"/>
    <w:rsid w:val="00FC1927"/>
    <w:rsid w:val="00FC2321"/>
    <w:rsid w:val="00FC2795"/>
    <w:rsid w:val="00FC3CA0"/>
    <w:rsid w:val="00FC41C7"/>
    <w:rsid w:val="00FC422A"/>
    <w:rsid w:val="00FC4646"/>
    <w:rsid w:val="00FC4FA2"/>
    <w:rsid w:val="00FC560C"/>
    <w:rsid w:val="00FC5739"/>
    <w:rsid w:val="00FC615D"/>
    <w:rsid w:val="00FC6A4A"/>
    <w:rsid w:val="00FC6AA7"/>
    <w:rsid w:val="00FC7367"/>
    <w:rsid w:val="00FC7687"/>
    <w:rsid w:val="00FC77FF"/>
    <w:rsid w:val="00FC7D39"/>
    <w:rsid w:val="00FD03E8"/>
    <w:rsid w:val="00FD0445"/>
    <w:rsid w:val="00FD0F13"/>
    <w:rsid w:val="00FD18A6"/>
    <w:rsid w:val="00FD1EB7"/>
    <w:rsid w:val="00FD1F37"/>
    <w:rsid w:val="00FD212D"/>
    <w:rsid w:val="00FD2973"/>
    <w:rsid w:val="00FD36AE"/>
    <w:rsid w:val="00FD3738"/>
    <w:rsid w:val="00FD4138"/>
    <w:rsid w:val="00FD4475"/>
    <w:rsid w:val="00FD4694"/>
    <w:rsid w:val="00FD4862"/>
    <w:rsid w:val="00FD4B2A"/>
    <w:rsid w:val="00FD5B64"/>
    <w:rsid w:val="00FD5BFC"/>
    <w:rsid w:val="00FD6289"/>
    <w:rsid w:val="00FD6638"/>
    <w:rsid w:val="00FD6A22"/>
    <w:rsid w:val="00FD7A1B"/>
    <w:rsid w:val="00FE005D"/>
    <w:rsid w:val="00FE0194"/>
    <w:rsid w:val="00FE1611"/>
    <w:rsid w:val="00FE163D"/>
    <w:rsid w:val="00FE1DC9"/>
    <w:rsid w:val="00FE2077"/>
    <w:rsid w:val="00FE215B"/>
    <w:rsid w:val="00FE236B"/>
    <w:rsid w:val="00FE2C25"/>
    <w:rsid w:val="00FE2D9C"/>
    <w:rsid w:val="00FE2FF2"/>
    <w:rsid w:val="00FE302A"/>
    <w:rsid w:val="00FE35F7"/>
    <w:rsid w:val="00FE486A"/>
    <w:rsid w:val="00FE65F1"/>
    <w:rsid w:val="00FE733F"/>
    <w:rsid w:val="00FF111C"/>
    <w:rsid w:val="00FF1236"/>
    <w:rsid w:val="00FF155D"/>
    <w:rsid w:val="00FF1801"/>
    <w:rsid w:val="00FF1CB6"/>
    <w:rsid w:val="00FF3066"/>
    <w:rsid w:val="00FF30D1"/>
    <w:rsid w:val="00FF31F4"/>
    <w:rsid w:val="00FF335F"/>
    <w:rsid w:val="00FF3A60"/>
    <w:rsid w:val="00FF3D05"/>
    <w:rsid w:val="00FF3D7B"/>
    <w:rsid w:val="00FF3ECD"/>
    <w:rsid w:val="00FF422D"/>
    <w:rsid w:val="00FF43B1"/>
    <w:rsid w:val="00FF5074"/>
    <w:rsid w:val="00FF5290"/>
    <w:rsid w:val="00FF531B"/>
    <w:rsid w:val="00FF5A4B"/>
    <w:rsid w:val="00FF6BB3"/>
    <w:rsid w:val="00FF6CB6"/>
    <w:rsid w:val="00FF6F3B"/>
    <w:rsid w:val="00FF7001"/>
    <w:rsid w:val="00FF7686"/>
    <w:rsid w:val="00FF7F33"/>
    <w:rsid w:val="00FF7F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0DA8A0"/>
  <w14:defaultImageDpi w14:val="0"/>
  <w15:docId w15:val="{96895BAC-91CC-41A7-BCE6-FC536BC8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C2B"/>
    <w:pPr>
      <w:spacing w:after="0" w:line="240" w:lineRule="auto"/>
      <w:jc w:val="both"/>
    </w:pPr>
    <w:rPr>
      <w:sz w:val="26"/>
      <w:szCs w:val="26"/>
    </w:rPr>
  </w:style>
  <w:style w:type="paragraph" w:styleId="Ttulo1">
    <w:name w:val="heading 1"/>
    <w:basedOn w:val="Normal"/>
    <w:next w:val="Normal"/>
    <w:link w:val="Ttulo1Char"/>
    <w:uiPriority w:val="99"/>
    <w:qFormat/>
    <w:pPr>
      <w:keepNext/>
      <w:autoSpaceDE w:val="0"/>
      <w:autoSpaceDN w:val="0"/>
      <w:adjustRightInd w:val="0"/>
      <w:ind w:right="40"/>
      <w:outlineLvl w:val="0"/>
    </w:pPr>
    <w:rPr>
      <w:b/>
      <w:bCs/>
      <w:i/>
      <w:iCs/>
      <w:color w:val="000000"/>
      <w:sz w:val="24"/>
      <w:szCs w:val="24"/>
    </w:rPr>
  </w:style>
  <w:style w:type="paragraph" w:styleId="Ttulo2">
    <w:name w:val="heading 2"/>
    <w:basedOn w:val="Normal"/>
    <w:next w:val="Normal"/>
    <w:link w:val="Ttulo2Char"/>
    <w:uiPriority w:val="99"/>
    <w:qFormat/>
    <w:rsid w:val="00944F11"/>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unhideWhenUsed/>
    <w:qFormat/>
    <w:locked/>
    <w:rsid w:val="00522929"/>
    <w:pPr>
      <w:keepNext/>
      <w:spacing w:before="240" w:after="60"/>
      <w:outlineLvl w:val="2"/>
    </w:pPr>
    <w:rPr>
      <w:rFonts w:asciiTheme="majorHAnsi" w:eastAsiaTheme="majorEastAsia" w:hAnsiTheme="majorHAnsi"/>
      <w:b/>
      <w:bCs/>
    </w:rPr>
  </w:style>
  <w:style w:type="paragraph" w:styleId="Ttulo4">
    <w:name w:val="heading 4"/>
    <w:basedOn w:val="Normal"/>
    <w:next w:val="Normal"/>
    <w:link w:val="Ttulo4Char"/>
    <w:uiPriority w:val="9"/>
    <w:unhideWhenUsed/>
    <w:qFormat/>
    <w:locked/>
    <w:rsid w:val="00574453"/>
    <w:pPr>
      <w:keepNext/>
      <w:keepLines/>
      <w:spacing w:before="40" w:line="256" w:lineRule="auto"/>
      <w:jc w:val="left"/>
      <w:outlineLvl w:val="3"/>
    </w:pPr>
    <w:rPr>
      <w:rFonts w:ascii="Calibri Light" w:hAnsi="Calibri Light"/>
      <w:i/>
      <w:iCs/>
      <w:color w:val="2E74B5"/>
      <w:sz w:val="22"/>
      <w:szCs w:val="22"/>
      <w:lang w:eastAsia="en-US"/>
    </w:rPr>
  </w:style>
  <w:style w:type="paragraph" w:styleId="Ttulo8">
    <w:name w:val="heading 8"/>
    <w:basedOn w:val="Normal"/>
    <w:next w:val="Normal"/>
    <w:link w:val="Ttulo8Char"/>
    <w:uiPriority w:val="99"/>
    <w:qFormat/>
    <w:pPr>
      <w:keepNext/>
      <w:tabs>
        <w:tab w:val="left" w:pos="284"/>
      </w:tabs>
      <w:overflowPunct w:val="0"/>
      <w:autoSpaceDE w:val="0"/>
      <w:autoSpaceDN w:val="0"/>
      <w:adjustRightInd w:val="0"/>
      <w:outlineLvl w:val="7"/>
    </w:pPr>
    <w:rPr>
      <w:b/>
      <w:bCs/>
      <w:sz w:val="23"/>
      <w:szCs w:val="23"/>
    </w:rPr>
  </w:style>
  <w:style w:type="paragraph" w:styleId="Ttulo9">
    <w:name w:val="heading 9"/>
    <w:basedOn w:val="Normal"/>
    <w:next w:val="Normal"/>
    <w:link w:val="Ttulo9Char"/>
    <w:uiPriority w:val="99"/>
    <w:qFormat/>
    <w:pPr>
      <w:keepNext/>
      <w:pBdr>
        <w:top w:val="double" w:sz="12" w:space="1" w:color="auto"/>
      </w:pBdr>
      <w:tabs>
        <w:tab w:val="left" w:pos="284"/>
      </w:tabs>
      <w:overflowPunct w:val="0"/>
      <w:autoSpaceDE w:val="0"/>
      <w:autoSpaceDN w:val="0"/>
      <w:adjustRightInd w:val="0"/>
      <w:jc w:val="center"/>
      <w:outlineLvl w:val="8"/>
    </w:pPr>
    <w:rPr>
      <w:b/>
      <w:bCs/>
      <w:smallCap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Pr>
      <w:rFonts w:ascii="Cambria" w:hAnsi="Cambria" w:cs="Times New Roman"/>
      <w:b/>
      <w:bCs/>
      <w:kern w:val="32"/>
      <w:sz w:val="32"/>
      <w:szCs w:val="32"/>
    </w:rPr>
  </w:style>
  <w:style w:type="character" w:customStyle="1" w:styleId="Ttulo2Char">
    <w:name w:val="Título 2 Char"/>
    <w:basedOn w:val="Fontepargpadro"/>
    <w:link w:val="Ttulo2"/>
    <w:uiPriority w:val="99"/>
    <w:semiHidden/>
    <w:locked/>
    <w:rPr>
      <w:rFonts w:ascii="Cambria" w:hAnsi="Cambria" w:cs="Times New Roman"/>
      <w:b/>
      <w:bCs/>
      <w:i/>
      <w:iCs/>
      <w:sz w:val="28"/>
      <w:szCs w:val="28"/>
    </w:rPr>
  </w:style>
  <w:style w:type="character" w:customStyle="1" w:styleId="Ttulo3Char">
    <w:name w:val="Título 3 Char"/>
    <w:basedOn w:val="Fontepargpadro"/>
    <w:link w:val="Ttulo3"/>
    <w:uiPriority w:val="9"/>
    <w:locked/>
    <w:rsid w:val="00522929"/>
    <w:rPr>
      <w:rFonts w:asciiTheme="majorHAnsi" w:eastAsiaTheme="majorEastAsia" w:hAnsiTheme="majorHAnsi" w:cs="Times New Roman"/>
      <w:b/>
      <w:bCs/>
      <w:sz w:val="26"/>
      <w:szCs w:val="26"/>
    </w:rPr>
  </w:style>
  <w:style w:type="character" w:customStyle="1" w:styleId="Ttulo4Char">
    <w:name w:val="Título 4 Char"/>
    <w:basedOn w:val="Fontepargpadro"/>
    <w:link w:val="Ttulo4"/>
    <w:uiPriority w:val="9"/>
    <w:locked/>
    <w:rsid w:val="00574453"/>
    <w:rPr>
      <w:rFonts w:ascii="Calibri Light" w:hAnsi="Calibri Light" w:cs="Times New Roman"/>
      <w:i/>
      <w:iCs/>
      <w:color w:val="2E74B5"/>
      <w:lang w:val="x-none" w:eastAsia="en-US"/>
    </w:rPr>
  </w:style>
  <w:style w:type="character" w:customStyle="1" w:styleId="Ttulo8Char">
    <w:name w:val="Título 8 Char"/>
    <w:basedOn w:val="Fontepargpadro"/>
    <w:link w:val="Ttulo8"/>
    <w:uiPriority w:val="99"/>
    <w:locked/>
    <w:rPr>
      <w:rFonts w:ascii="Calibri" w:hAnsi="Calibri" w:cs="Times New Roman"/>
      <w:i/>
      <w:iCs/>
      <w:sz w:val="24"/>
      <w:szCs w:val="24"/>
    </w:rPr>
  </w:style>
  <w:style w:type="character" w:customStyle="1" w:styleId="Ttulo9Char">
    <w:name w:val="Título 9 Char"/>
    <w:basedOn w:val="Fontepargpadro"/>
    <w:link w:val="Ttulo9"/>
    <w:uiPriority w:val="99"/>
    <w:semiHidden/>
    <w:locked/>
    <w:rPr>
      <w:rFonts w:ascii="Cambria" w:hAnsi="Cambria" w:cs="Times New Roman"/>
    </w:rPr>
  </w:style>
  <w:style w:type="paragraph" w:customStyle="1" w:styleId="indice">
    <w:name w:val="indice"/>
    <w:link w:val="indiceChar"/>
    <w:uiPriority w:val="99"/>
    <w:pPr>
      <w:autoSpaceDE w:val="0"/>
      <w:autoSpaceDN w:val="0"/>
      <w:adjustRightInd w:val="0"/>
      <w:spacing w:after="0" w:line="260" w:lineRule="atLeast"/>
      <w:jc w:val="both"/>
    </w:pPr>
    <w:rPr>
      <w:color w:val="000000"/>
    </w:rPr>
  </w:style>
  <w:style w:type="paragraph" w:customStyle="1" w:styleId="tit1">
    <w:name w:val="tit1"/>
    <w:uiPriority w:val="99"/>
    <w:pPr>
      <w:autoSpaceDE w:val="0"/>
      <w:autoSpaceDN w:val="0"/>
      <w:adjustRightInd w:val="0"/>
      <w:spacing w:before="113" w:after="0" w:line="240" w:lineRule="atLeast"/>
    </w:pPr>
    <w:rPr>
      <w:b/>
      <w:bCs/>
      <w:i/>
      <w:iCs/>
    </w:rPr>
  </w:style>
  <w:style w:type="paragraph" w:customStyle="1" w:styleId="body10">
    <w:name w:val="body10"/>
    <w:link w:val="body10Char"/>
    <w:pPr>
      <w:autoSpaceDE w:val="0"/>
      <w:autoSpaceDN w:val="0"/>
      <w:adjustRightInd w:val="0"/>
      <w:spacing w:after="0" w:line="220" w:lineRule="atLeast"/>
      <w:ind w:firstLine="454"/>
      <w:jc w:val="both"/>
    </w:pPr>
    <w:rPr>
      <w:sz w:val="20"/>
      <w:szCs w:val="20"/>
    </w:rPr>
  </w:style>
  <w:style w:type="paragraph" w:customStyle="1" w:styleId="enter-3pt">
    <w:name w:val="enter-3pt"/>
    <w:basedOn w:val="Normal"/>
    <w:uiPriority w:val="99"/>
    <w:pPr>
      <w:autoSpaceDE w:val="0"/>
      <w:autoSpaceDN w:val="0"/>
      <w:adjustRightInd w:val="0"/>
      <w:spacing w:line="60" w:lineRule="atLeast"/>
    </w:pPr>
    <w:rPr>
      <w:sz w:val="8"/>
      <w:szCs w:val="8"/>
    </w:rPr>
  </w:style>
  <w:style w:type="paragraph" w:customStyle="1" w:styleId="body8sem-neg">
    <w:name w:val="body8sem-neg"/>
    <w:uiPriority w:val="99"/>
    <w:pPr>
      <w:autoSpaceDE w:val="0"/>
      <w:autoSpaceDN w:val="0"/>
      <w:adjustRightInd w:val="0"/>
      <w:spacing w:after="0" w:line="180" w:lineRule="atLeast"/>
      <w:jc w:val="both"/>
    </w:pPr>
    <w:rPr>
      <w:b/>
      <w:bCs/>
      <w:sz w:val="16"/>
      <w:szCs w:val="16"/>
    </w:rPr>
  </w:style>
  <w:style w:type="paragraph" w:customStyle="1" w:styleId="body8sem">
    <w:name w:val="body8sem"/>
    <w:link w:val="body8semChar"/>
    <w:uiPriority w:val="99"/>
    <w:pPr>
      <w:autoSpaceDE w:val="0"/>
      <w:autoSpaceDN w:val="0"/>
      <w:adjustRightInd w:val="0"/>
      <w:spacing w:after="0" w:line="180" w:lineRule="atLeast"/>
      <w:jc w:val="both"/>
    </w:pPr>
    <w:rPr>
      <w:color w:val="000000"/>
      <w:sz w:val="16"/>
      <w:szCs w:val="16"/>
    </w:rPr>
  </w:style>
  <w:style w:type="paragraph" w:customStyle="1" w:styleId="nota-dir">
    <w:name w:val="nota-dir"/>
    <w:uiPriority w:val="99"/>
    <w:pPr>
      <w:autoSpaceDE w:val="0"/>
      <w:autoSpaceDN w:val="0"/>
      <w:adjustRightInd w:val="0"/>
      <w:spacing w:after="0" w:line="180" w:lineRule="atLeast"/>
      <w:jc w:val="right"/>
    </w:pPr>
    <w:rPr>
      <w:i/>
      <w:iCs/>
      <w:sz w:val="16"/>
      <w:szCs w:val="16"/>
    </w:rPr>
  </w:style>
  <w:style w:type="paragraph" w:customStyle="1" w:styleId="body9centro">
    <w:name w:val="body9centro"/>
    <w:link w:val="body9centroChar"/>
    <w:uiPriority w:val="99"/>
    <w:pPr>
      <w:autoSpaceDE w:val="0"/>
      <w:autoSpaceDN w:val="0"/>
      <w:adjustRightInd w:val="0"/>
      <w:spacing w:after="0" w:line="200" w:lineRule="atLeast"/>
      <w:jc w:val="center"/>
    </w:pPr>
    <w:rPr>
      <w:b/>
      <w:bCs/>
      <w:sz w:val="18"/>
      <w:szCs w:val="18"/>
    </w:rPr>
  </w:style>
  <w:style w:type="paragraph" w:customStyle="1" w:styleId="enter-6pt">
    <w:name w:val="enter-6pt"/>
    <w:uiPriority w:val="99"/>
    <w:pPr>
      <w:autoSpaceDE w:val="0"/>
      <w:autoSpaceDN w:val="0"/>
      <w:adjustRightInd w:val="0"/>
      <w:spacing w:after="0" w:line="120" w:lineRule="atLeast"/>
      <w:jc w:val="both"/>
    </w:pPr>
    <w:rPr>
      <w:sz w:val="8"/>
      <w:szCs w:val="8"/>
    </w:rPr>
  </w:style>
  <w:style w:type="paragraph" w:customStyle="1" w:styleId="body8centro">
    <w:name w:val="body8centro"/>
    <w:uiPriority w:val="99"/>
    <w:pPr>
      <w:autoSpaceDE w:val="0"/>
      <w:autoSpaceDN w:val="0"/>
      <w:adjustRightInd w:val="0"/>
      <w:spacing w:after="0" w:line="180" w:lineRule="atLeast"/>
      <w:jc w:val="center"/>
    </w:pPr>
    <w:rPr>
      <w:sz w:val="16"/>
      <w:szCs w:val="16"/>
    </w:rPr>
  </w:style>
  <w:style w:type="paragraph" w:customStyle="1" w:styleId="enter-4pt">
    <w:name w:val="enter-4pt"/>
    <w:uiPriority w:val="99"/>
    <w:pPr>
      <w:autoSpaceDE w:val="0"/>
      <w:autoSpaceDN w:val="0"/>
      <w:adjustRightInd w:val="0"/>
      <w:spacing w:after="0" w:line="80" w:lineRule="atLeast"/>
      <w:jc w:val="both"/>
    </w:pPr>
    <w:rPr>
      <w:sz w:val="8"/>
      <w:szCs w:val="8"/>
    </w:rPr>
  </w:style>
  <w:style w:type="paragraph" w:customStyle="1" w:styleId="body8">
    <w:name w:val="body8"/>
    <w:uiPriority w:val="99"/>
    <w:pPr>
      <w:autoSpaceDE w:val="0"/>
      <w:autoSpaceDN w:val="0"/>
      <w:adjustRightInd w:val="0"/>
      <w:spacing w:after="0" w:line="180" w:lineRule="atLeast"/>
      <w:ind w:firstLine="454"/>
      <w:jc w:val="both"/>
    </w:pPr>
    <w:rPr>
      <w:sz w:val="16"/>
      <w:szCs w:val="16"/>
    </w:rPr>
  </w:style>
  <w:style w:type="paragraph" w:customStyle="1" w:styleId="enter-9pt">
    <w:name w:val="enter-9pt"/>
    <w:uiPriority w:val="99"/>
    <w:pPr>
      <w:autoSpaceDE w:val="0"/>
      <w:autoSpaceDN w:val="0"/>
      <w:adjustRightInd w:val="0"/>
      <w:spacing w:after="0" w:line="180" w:lineRule="atLeast"/>
      <w:jc w:val="both"/>
    </w:pPr>
    <w:rPr>
      <w:sz w:val="8"/>
      <w:szCs w:val="8"/>
    </w:rPr>
  </w:style>
  <w:style w:type="paragraph" w:styleId="Corpodetexto2">
    <w:name w:val="Body Text 2"/>
    <w:basedOn w:val="Normal"/>
    <w:link w:val="Corpodetexto2Char"/>
    <w:uiPriority w:val="99"/>
    <w:pPr>
      <w:overflowPunct w:val="0"/>
      <w:autoSpaceDE w:val="0"/>
      <w:autoSpaceDN w:val="0"/>
      <w:adjustRightInd w:val="0"/>
      <w:ind w:right="-51" w:firstLine="720"/>
    </w:pPr>
    <w:rPr>
      <w:sz w:val="24"/>
      <w:szCs w:val="24"/>
    </w:rPr>
  </w:style>
  <w:style w:type="character" w:customStyle="1" w:styleId="Corpodetexto2Char">
    <w:name w:val="Corpo de texto 2 Char"/>
    <w:basedOn w:val="Fontepargpadro"/>
    <w:link w:val="Corpodetexto2"/>
    <w:uiPriority w:val="99"/>
    <w:semiHidden/>
    <w:locked/>
    <w:rsid w:val="006F34C7"/>
    <w:rPr>
      <w:rFonts w:cs="Times New Roman"/>
      <w:sz w:val="24"/>
      <w:szCs w:val="24"/>
      <w:lang w:val="pt-BR" w:eastAsia="pt-BR" w:bidi="ar-SA"/>
    </w:rPr>
  </w:style>
  <w:style w:type="paragraph" w:customStyle="1" w:styleId="tita">
    <w:name w:val="tita"/>
    <w:uiPriority w:val="99"/>
    <w:pPr>
      <w:autoSpaceDE w:val="0"/>
      <w:autoSpaceDN w:val="0"/>
      <w:adjustRightInd w:val="0"/>
      <w:spacing w:before="170" w:after="57" w:line="240" w:lineRule="atLeast"/>
      <w:jc w:val="center"/>
    </w:pPr>
    <w:rPr>
      <w:b/>
      <w:bCs/>
      <w:i/>
      <w:iCs/>
      <w:sz w:val="24"/>
      <w:szCs w:val="24"/>
    </w:rPr>
  </w:style>
  <w:style w:type="paragraph" w:customStyle="1" w:styleId="fio-fino">
    <w:name w:val="fio-fino"/>
    <w:uiPriority w:val="99"/>
    <w:pPr>
      <w:pBdr>
        <w:top w:val="single" w:sz="6" w:space="0" w:color="auto"/>
      </w:pBdr>
      <w:autoSpaceDE w:val="0"/>
      <w:autoSpaceDN w:val="0"/>
      <w:adjustRightInd w:val="0"/>
      <w:spacing w:before="170" w:after="113" w:line="60" w:lineRule="atLeast"/>
      <w:jc w:val="center"/>
    </w:pPr>
    <w:rPr>
      <w:color w:val="000000"/>
      <w:sz w:val="8"/>
      <w:szCs w:val="8"/>
    </w:rPr>
  </w:style>
  <w:style w:type="paragraph" w:customStyle="1" w:styleId="tabela">
    <w:name w:val="tabela"/>
    <w:uiPriority w:val="99"/>
    <w:pPr>
      <w:tabs>
        <w:tab w:val="center" w:pos="1417"/>
        <w:tab w:val="center" w:pos="2665"/>
        <w:tab w:val="center" w:pos="4025"/>
      </w:tabs>
      <w:autoSpaceDE w:val="0"/>
      <w:autoSpaceDN w:val="0"/>
      <w:adjustRightInd w:val="0"/>
      <w:spacing w:after="0" w:line="220" w:lineRule="atLeast"/>
    </w:pPr>
    <w:rPr>
      <w:color w:val="000000"/>
      <w:sz w:val="20"/>
      <w:szCs w:val="20"/>
    </w:rPr>
  </w:style>
  <w:style w:type="paragraph" w:customStyle="1" w:styleId="body11">
    <w:name w:val="body11"/>
    <w:uiPriority w:val="99"/>
    <w:pPr>
      <w:autoSpaceDE w:val="0"/>
      <w:autoSpaceDN w:val="0"/>
      <w:adjustRightInd w:val="0"/>
      <w:spacing w:after="0" w:line="220" w:lineRule="atLeast"/>
      <w:ind w:firstLine="454"/>
      <w:jc w:val="both"/>
    </w:pPr>
  </w:style>
  <w:style w:type="paragraph" w:customStyle="1" w:styleId="enter-8pt">
    <w:name w:val="enter-8pt"/>
    <w:uiPriority w:val="99"/>
    <w:pPr>
      <w:autoSpaceDE w:val="0"/>
      <w:autoSpaceDN w:val="0"/>
      <w:adjustRightInd w:val="0"/>
      <w:spacing w:after="0" w:line="160" w:lineRule="atLeast"/>
      <w:jc w:val="both"/>
    </w:pPr>
    <w:rPr>
      <w:sz w:val="8"/>
      <w:szCs w:val="8"/>
    </w:rPr>
  </w:style>
  <w:style w:type="paragraph" w:customStyle="1" w:styleId="enter-7pt">
    <w:name w:val="enter-7pt"/>
    <w:uiPriority w:val="99"/>
    <w:pPr>
      <w:autoSpaceDE w:val="0"/>
      <w:autoSpaceDN w:val="0"/>
      <w:adjustRightInd w:val="0"/>
      <w:spacing w:after="0" w:line="140" w:lineRule="atLeast"/>
      <w:jc w:val="both"/>
    </w:pPr>
    <w:rPr>
      <w:sz w:val="8"/>
      <w:szCs w:val="8"/>
    </w:rPr>
  </w:style>
  <w:style w:type="paragraph" w:customStyle="1" w:styleId="rec1-sem">
    <w:name w:val="rec1-sem"/>
    <w:uiPriority w:val="99"/>
    <w:pPr>
      <w:autoSpaceDE w:val="0"/>
      <w:autoSpaceDN w:val="0"/>
      <w:adjustRightInd w:val="0"/>
      <w:spacing w:after="0" w:line="180" w:lineRule="atLeast"/>
      <w:ind w:left="907"/>
      <w:jc w:val="both"/>
    </w:pPr>
    <w:rPr>
      <w:i/>
      <w:iCs/>
      <w:sz w:val="16"/>
      <w:szCs w:val="16"/>
    </w:rPr>
  </w:style>
  <w:style w:type="paragraph" w:customStyle="1" w:styleId="rec-sem">
    <w:name w:val="rec-sem"/>
    <w:uiPriority w:val="99"/>
    <w:pPr>
      <w:autoSpaceDE w:val="0"/>
      <w:autoSpaceDN w:val="0"/>
      <w:adjustRightInd w:val="0"/>
      <w:spacing w:after="0" w:line="180" w:lineRule="atLeast"/>
      <w:ind w:left="454"/>
      <w:jc w:val="both"/>
    </w:pPr>
    <w:rPr>
      <w:sz w:val="16"/>
      <w:szCs w:val="16"/>
    </w:rPr>
  </w:style>
  <w:style w:type="paragraph" w:customStyle="1" w:styleId="recitalico">
    <w:name w:val="rec italico"/>
    <w:uiPriority w:val="99"/>
    <w:pPr>
      <w:autoSpaceDE w:val="0"/>
      <w:autoSpaceDN w:val="0"/>
      <w:adjustRightInd w:val="0"/>
      <w:spacing w:after="0" w:line="180" w:lineRule="atLeast"/>
      <w:ind w:left="454" w:firstLine="454"/>
      <w:jc w:val="both"/>
    </w:pPr>
    <w:rPr>
      <w:i/>
      <w:iCs/>
      <w:sz w:val="16"/>
      <w:szCs w:val="16"/>
    </w:rPr>
  </w:style>
  <w:style w:type="paragraph" w:customStyle="1" w:styleId="rec">
    <w:name w:val="rec"/>
    <w:pPr>
      <w:autoSpaceDE w:val="0"/>
      <w:autoSpaceDN w:val="0"/>
      <w:adjustRightInd w:val="0"/>
      <w:spacing w:after="0" w:line="180" w:lineRule="atLeast"/>
      <w:ind w:left="454" w:firstLine="454"/>
      <w:jc w:val="both"/>
    </w:pPr>
    <w:rPr>
      <w:sz w:val="16"/>
      <w:szCs w:val="16"/>
    </w:rPr>
  </w:style>
  <w:style w:type="paragraph" w:customStyle="1" w:styleId="rec1">
    <w:name w:val="rec1"/>
    <w:uiPriority w:val="99"/>
    <w:pPr>
      <w:autoSpaceDE w:val="0"/>
      <w:autoSpaceDN w:val="0"/>
      <w:adjustRightInd w:val="0"/>
      <w:spacing w:after="0" w:line="180" w:lineRule="atLeast"/>
      <w:ind w:left="907" w:firstLine="454"/>
      <w:jc w:val="both"/>
    </w:pPr>
    <w:rPr>
      <w:i/>
      <w:iCs/>
      <w:sz w:val="16"/>
      <w:szCs w:val="16"/>
    </w:rPr>
  </w:style>
  <w:style w:type="paragraph" w:customStyle="1" w:styleId="trans">
    <w:name w:val="trans"/>
    <w:link w:val="transChar"/>
    <w:uiPriority w:val="99"/>
    <w:pPr>
      <w:autoSpaceDE w:val="0"/>
      <w:autoSpaceDN w:val="0"/>
      <w:adjustRightInd w:val="0"/>
      <w:spacing w:before="170" w:after="0" w:line="360" w:lineRule="atLeast"/>
      <w:jc w:val="center"/>
    </w:pPr>
    <w:rPr>
      <w:b/>
      <w:bCs/>
      <w:i/>
      <w:iCs/>
      <w:smallCaps/>
      <w:sz w:val="33"/>
      <w:szCs w:val="33"/>
    </w:rPr>
  </w:style>
  <w:style w:type="paragraph" w:customStyle="1" w:styleId="fio">
    <w:name w:val="fio"/>
    <w:uiPriority w:val="99"/>
    <w:pPr>
      <w:pBdr>
        <w:top w:val="single" w:sz="6" w:space="0" w:color="auto"/>
        <w:bottom w:val="single" w:sz="6" w:space="0" w:color="auto"/>
        <w:between w:val="single" w:sz="6" w:space="0" w:color="auto"/>
      </w:pBdr>
      <w:autoSpaceDE w:val="0"/>
      <w:autoSpaceDN w:val="0"/>
      <w:adjustRightInd w:val="0"/>
      <w:spacing w:before="113" w:after="0" w:line="90" w:lineRule="atLeast"/>
      <w:jc w:val="center"/>
    </w:pPr>
    <w:rPr>
      <w:sz w:val="8"/>
      <w:szCs w:val="8"/>
    </w:rPr>
  </w:style>
  <w:style w:type="paragraph" w:customStyle="1" w:styleId="tit10">
    <w:name w:val="tit 1"/>
    <w:link w:val="tit1Char"/>
    <w:uiPriority w:val="99"/>
    <w:pPr>
      <w:autoSpaceDE w:val="0"/>
      <w:autoSpaceDN w:val="0"/>
      <w:adjustRightInd w:val="0"/>
      <w:spacing w:before="100" w:after="0" w:line="260" w:lineRule="atLeast"/>
    </w:pPr>
    <w:rPr>
      <w:b/>
      <w:bCs/>
      <w:i/>
      <w:iCs/>
      <w:color w:val="000000"/>
    </w:rPr>
  </w:style>
  <w:style w:type="paragraph" w:customStyle="1" w:styleId="tit">
    <w:name w:val="tit"/>
    <w:uiPriority w:val="99"/>
    <w:pPr>
      <w:autoSpaceDE w:val="0"/>
      <w:autoSpaceDN w:val="0"/>
      <w:adjustRightInd w:val="0"/>
      <w:spacing w:before="170" w:after="57" w:line="330" w:lineRule="atLeast"/>
      <w:jc w:val="center"/>
    </w:pPr>
    <w:rPr>
      <w:b/>
      <w:bCs/>
      <w:smallCaps/>
      <w:sz w:val="33"/>
      <w:szCs w:val="33"/>
    </w:rPr>
  </w:style>
  <w:style w:type="paragraph" w:customStyle="1" w:styleId="cliping">
    <w:name w:val="cliping"/>
    <w:uiPriority w:val="99"/>
    <w:pPr>
      <w:autoSpaceDE w:val="0"/>
      <w:autoSpaceDN w:val="0"/>
      <w:adjustRightInd w:val="0"/>
      <w:spacing w:before="170" w:after="57" w:line="330" w:lineRule="atLeast"/>
      <w:jc w:val="center"/>
    </w:pPr>
    <w:rPr>
      <w:b/>
      <w:bCs/>
      <w:i/>
      <w:iCs/>
      <w:smallCaps/>
      <w:spacing w:val="200"/>
      <w:sz w:val="33"/>
      <w:szCs w:val="33"/>
    </w:rPr>
  </w:style>
  <w:style w:type="paragraph" w:customStyle="1" w:styleId="clipling1">
    <w:name w:val="clipling1"/>
    <w:uiPriority w:val="99"/>
    <w:pPr>
      <w:autoSpaceDE w:val="0"/>
      <w:autoSpaceDN w:val="0"/>
      <w:adjustRightInd w:val="0"/>
      <w:spacing w:after="0" w:line="240" w:lineRule="atLeast"/>
      <w:ind w:right="510"/>
      <w:jc w:val="right"/>
    </w:pPr>
    <w:rPr>
      <w:b/>
      <w:bCs/>
      <w:i/>
      <w:iCs/>
      <w:sz w:val="24"/>
      <w:szCs w:val="24"/>
    </w:rPr>
  </w:style>
  <w:style w:type="paragraph" w:styleId="Ttulo">
    <w:name w:val="Title"/>
    <w:basedOn w:val="Normal"/>
    <w:link w:val="TtuloChar"/>
    <w:uiPriority w:val="99"/>
    <w:qFormat/>
    <w:pPr>
      <w:autoSpaceDE w:val="0"/>
      <w:autoSpaceDN w:val="0"/>
      <w:adjustRightInd w:val="0"/>
      <w:spacing w:line="216" w:lineRule="atLeast"/>
      <w:jc w:val="center"/>
    </w:pPr>
    <w:rPr>
      <w:b/>
      <w:bCs/>
      <w:color w:val="000000"/>
      <w:sz w:val="18"/>
      <w:szCs w:val="18"/>
    </w:rPr>
  </w:style>
  <w:style w:type="character" w:customStyle="1" w:styleId="TtuloChar">
    <w:name w:val="Título Char"/>
    <w:basedOn w:val="Fontepargpadro"/>
    <w:link w:val="Ttulo"/>
    <w:uiPriority w:val="99"/>
    <w:locked/>
    <w:rPr>
      <w:rFonts w:ascii="Cambria" w:hAnsi="Cambria" w:cs="Times New Roman"/>
      <w:b/>
      <w:bCs/>
      <w:kern w:val="28"/>
      <w:sz w:val="32"/>
      <w:szCs w:val="32"/>
    </w:rPr>
  </w:style>
  <w:style w:type="paragraph" w:styleId="MapadoDocumento">
    <w:name w:val="Document Map"/>
    <w:basedOn w:val="Normal"/>
    <w:link w:val="MapadoDocumentoChar"/>
    <w:uiPriority w:val="99"/>
    <w:semiHidden/>
    <w:pPr>
      <w:shd w:val="clear" w:color="auto" w:fill="000080"/>
    </w:pPr>
    <w:rPr>
      <w:rFonts w:ascii="Tahoma" w:hAnsi="Tahoma" w:cs="Tahoma"/>
    </w:rPr>
  </w:style>
  <w:style w:type="character" w:customStyle="1" w:styleId="MapadoDocumentoChar">
    <w:name w:val="Mapa do Documento Char"/>
    <w:basedOn w:val="Fontepargpadro"/>
    <w:link w:val="MapadoDocumento"/>
    <w:uiPriority w:val="99"/>
    <w:semiHidden/>
    <w:locked/>
    <w:rPr>
      <w:rFonts w:ascii="Tahoma" w:hAnsi="Tahoma" w:cs="Tahoma"/>
      <w:sz w:val="16"/>
      <w:szCs w:val="16"/>
    </w:rPr>
  </w:style>
  <w:style w:type="paragraph" w:styleId="Textodenotaderodap">
    <w:name w:val="footnote text"/>
    <w:basedOn w:val="Normal"/>
    <w:link w:val="TextodenotaderodapChar"/>
    <w:uiPriority w:val="99"/>
    <w:semiHidden/>
    <w:pPr>
      <w:autoSpaceDE w:val="0"/>
      <w:autoSpaceDN w:val="0"/>
      <w:adjustRightInd w:val="0"/>
    </w:pPr>
    <w:rPr>
      <w:rFonts w:ascii="Courier New" w:hAnsi="Courier New" w:cs="Courier New"/>
      <w:color w:val="000000"/>
      <w:sz w:val="24"/>
      <w:szCs w:val="24"/>
    </w:rPr>
  </w:style>
  <w:style w:type="character" w:customStyle="1" w:styleId="TextodenotaderodapChar">
    <w:name w:val="Texto de nota de rodapé Char"/>
    <w:basedOn w:val="Fontepargpadro"/>
    <w:link w:val="Textodenotaderodap"/>
    <w:uiPriority w:val="99"/>
    <w:semiHidden/>
    <w:locked/>
    <w:rPr>
      <w:rFonts w:cs="Times New Roman"/>
      <w:sz w:val="20"/>
      <w:szCs w:val="20"/>
    </w:rPr>
  </w:style>
  <w:style w:type="paragraph" w:styleId="Textodenotadefim">
    <w:name w:val="endnote text"/>
    <w:basedOn w:val="Normal"/>
    <w:link w:val="TextodenotadefimChar"/>
    <w:uiPriority w:val="99"/>
    <w:semiHidden/>
    <w:rPr>
      <w:sz w:val="20"/>
      <w:szCs w:val="20"/>
    </w:rPr>
  </w:style>
  <w:style w:type="character" w:customStyle="1" w:styleId="TextodenotadefimChar">
    <w:name w:val="Texto de nota de fim Char"/>
    <w:basedOn w:val="Fontepargpadro"/>
    <w:link w:val="Textodenotadefim"/>
    <w:uiPriority w:val="99"/>
    <w:semiHidden/>
    <w:locked/>
    <w:rPr>
      <w:rFonts w:cs="Times New Roman"/>
      <w:sz w:val="20"/>
      <w:szCs w:val="20"/>
    </w:rPr>
  </w:style>
  <w:style w:type="character" w:styleId="Refdenotadefim">
    <w:name w:val="endnote reference"/>
    <w:basedOn w:val="Fontepargpadro"/>
    <w:uiPriority w:val="99"/>
    <w:semiHidden/>
    <w:rPr>
      <w:rFonts w:cs="Times New Roman"/>
      <w:vertAlign w:val="superscript"/>
    </w:rPr>
  </w:style>
  <w:style w:type="character" w:styleId="Refdenotaderodap">
    <w:name w:val="footnote reference"/>
    <w:basedOn w:val="Fontepargpadro"/>
    <w:uiPriority w:val="99"/>
    <w:semiHidden/>
    <w:rPr>
      <w:rFonts w:cs="Times New Roman"/>
      <w:vertAlign w:val="superscript"/>
    </w:rPr>
  </w:style>
  <w:style w:type="character" w:styleId="nfase">
    <w:name w:val="Emphasis"/>
    <w:basedOn w:val="Fontepargpadro"/>
    <w:uiPriority w:val="99"/>
    <w:qFormat/>
    <w:rsid w:val="000E3068"/>
    <w:rPr>
      <w:rFonts w:cs="Times New Roman"/>
      <w:i/>
      <w:iCs/>
    </w:rPr>
  </w:style>
  <w:style w:type="character" w:customStyle="1" w:styleId="body9centroChar">
    <w:name w:val="body9centro Char"/>
    <w:basedOn w:val="Fontepargpadro"/>
    <w:link w:val="body9centro"/>
    <w:uiPriority w:val="99"/>
    <w:locked/>
    <w:rsid w:val="008649FE"/>
    <w:rPr>
      <w:rFonts w:cs="Times New Roman"/>
      <w:b/>
      <w:bCs/>
      <w:sz w:val="18"/>
      <w:szCs w:val="18"/>
      <w:lang w:val="pt-BR" w:eastAsia="pt-BR" w:bidi="ar-SA"/>
    </w:rPr>
  </w:style>
  <w:style w:type="paragraph" w:customStyle="1" w:styleId="Ttulo9SuperiorDuplo">
    <w:name w:val="Título 9 + Superior: (Duplo"/>
    <w:aliases w:val="Automática,1,5 pt Largura da linha,Do texto: ..."/>
    <w:basedOn w:val="Normal"/>
    <w:uiPriority w:val="99"/>
    <w:rsid w:val="00991D3D"/>
    <w:pPr>
      <w:autoSpaceDE w:val="0"/>
      <w:autoSpaceDN w:val="0"/>
      <w:adjustRightInd w:val="0"/>
      <w:spacing w:before="170" w:after="57" w:line="330" w:lineRule="atLeast"/>
      <w:jc w:val="center"/>
    </w:pPr>
    <w:rPr>
      <w:b/>
      <w:bCs/>
      <w:smallCaps/>
      <w:sz w:val="33"/>
      <w:szCs w:val="33"/>
    </w:rPr>
  </w:style>
  <w:style w:type="character" w:customStyle="1" w:styleId="transChar">
    <w:name w:val="trans Char"/>
    <w:basedOn w:val="Fontepargpadro"/>
    <w:link w:val="trans"/>
    <w:uiPriority w:val="99"/>
    <w:locked/>
    <w:rsid w:val="00CD07B6"/>
    <w:rPr>
      <w:rFonts w:cs="Times New Roman"/>
      <w:b/>
      <w:bCs/>
      <w:i/>
      <w:iCs/>
      <w:smallCaps/>
      <w:sz w:val="33"/>
      <w:szCs w:val="33"/>
      <w:lang w:val="pt-BR" w:eastAsia="pt-BR" w:bidi="ar-SA"/>
    </w:rPr>
  </w:style>
  <w:style w:type="paragraph" w:styleId="Recuodecorpodetexto2">
    <w:name w:val="Body Text Indent 2"/>
    <w:basedOn w:val="Normal"/>
    <w:link w:val="Recuodecorpodetexto2Char"/>
    <w:uiPriority w:val="99"/>
    <w:rsid w:val="004D183E"/>
    <w:pPr>
      <w:spacing w:after="120" w:line="480" w:lineRule="auto"/>
      <w:ind w:left="283"/>
    </w:pPr>
  </w:style>
  <w:style w:type="character" w:customStyle="1" w:styleId="Recuodecorpodetexto2Char">
    <w:name w:val="Recuo de corpo de texto 2 Char"/>
    <w:basedOn w:val="Fontepargpadro"/>
    <w:link w:val="Recuodecorpodetexto2"/>
    <w:uiPriority w:val="99"/>
    <w:semiHidden/>
    <w:locked/>
    <w:rPr>
      <w:rFonts w:cs="Times New Roman"/>
      <w:sz w:val="26"/>
      <w:szCs w:val="26"/>
    </w:rPr>
  </w:style>
  <w:style w:type="paragraph" w:customStyle="1" w:styleId="BodyTextIndent">
    <w:name w:val="Body Text Indent*"/>
    <w:basedOn w:val="Normal"/>
    <w:next w:val="Normal"/>
    <w:uiPriority w:val="99"/>
    <w:rsid w:val="00BB1955"/>
    <w:pPr>
      <w:autoSpaceDE w:val="0"/>
      <w:autoSpaceDN w:val="0"/>
      <w:adjustRightInd w:val="0"/>
    </w:pPr>
    <w:rPr>
      <w:color w:val="000000"/>
      <w:sz w:val="23"/>
      <w:szCs w:val="23"/>
    </w:rPr>
  </w:style>
  <w:style w:type="character" w:customStyle="1" w:styleId="indiceChar">
    <w:name w:val="indice Char"/>
    <w:basedOn w:val="Fontepargpadro"/>
    <w:link w:val="indice"/>
    <w:uiPriority w:val="99"/>
    <w:locked/>
    <w:rsid w:val="00C26987"/>
    <w:rPr>
      <w:rFonts w:cs="Times New Roman"/>
      <w:color w:val="000000"/>
      <w:sz w:val="22"/>
      <w:szCs w:val="22"/>
      <w:lang w:val="pt-BR" w:eastAsia="pt-BR" w:bidi="ar-SA"/>
    </w:rPr>
  </w:style>
  <w:style w:type="character" w:styleId="Hyperlink">
    <w:name w:val="Hyperlink"/>
    <w:basedOn w:val="Fontepargpadro"/>
    <w:uiPriority w:val="99"/>
    <w:rsid w:val="002E5FD0"/>
    <w:rPr>
      <w:rFonts w:cs="Times New Roman"/>
      <w:color w:val="0000FF"/>
      <w:u w:val="single"/>
    </w:rPr>
  </w:style>
  <w:style w:type="paragraph" w:styleId="Cabealho">
    <w:name w:val="header"/>
    <w:basedOn w:val="Normal"/>
    <w:link w:val="CabealhoChar"/>
    <w:uiPriority w:val="99"/>
    <w:rsid w:val="002E5FD0"/>
    <w:pPr>
      <w:tabs>
        <w:tab w:val="center" w:pos="4252"/>
        <w:tab w:val="right" w:pos="8504"/>
      </w:tabs>
    </w:pPr>
  </w:style>
  <w:style w:type="character" w:customStyle="1" w:styleId="CabealhoChar">
    <w:name w:val="Cabeçalho Char"/>
    <w:basedOn w:val="Fontepargpadro"/>
    <w:link w:val="Cabealho"/>
    <w:uiPriority w:val="99"/>
    <w:semiHidden/>
    <w:locked/>
    <w:rPr>
      <w:rFonts w:cs="Times New Roman"/>
      <w:sz w:val="26"/>
      <w:szCs w:val="26"/>
    </w:rPr>
  </w:style>
  <w:style w:type="paragraph" w:styleId="Rodap">
    <w:name w:val="footer"/>
    <w:basedOn w:val="Normal"/>
    <w:link w:val="RodapChar"/>
    <w:uiPriority w:val="99"/>
    <w:rsid w:val="002E5FD0"/>
    <w:pPr>
      <w:tabs>
        <w:tab w:val="center" w:pos="4252"/>
        <w:tab w:val="right" w:pos="8504"/>
      </w:tabs>
    </w:pPr>
  </w:style>
  <w:style w:type="character" w:customStyle="1" w:styleId="RodapChar">
    <w:name w:val="Rodapé Char"/>
    <w:basedOn w:val="Fontepargpadro"/>
    <w:link w:val="Rodap"/>
    <w:uiPriority w:val="99"/>
    <w:semiHidden/>
    <w:locked/>
    <w:rPr>
      <w:rFonts w:cs="Times New Roman"/>
      <w:sz w:val="26"/>
      <w:szCs w:val="26"/>
    </w:rPr>
  </w:style>
  <w:style w:type="character" w:customStyle="1" w:styleId="body8semChar">
    <w:name w:val="body8sem Char"/>
    <w:basedOn w:val="Fontepargpadro"/>
    <w:link w:val="body8sem"/>
    <w:uiPriority w:val="99"/>
    <w:locked/>
    <w:rsid w:val="00447996"/>
    <w:rPr>
      <w:rFonts w:cs="Times New Roman"/>
      <w:color w:val="000000"/>
      <w:sz w:val="16"/>
      <w:szCs w:val="16"/>
      <w:lang w:val="pt-BR" w:eastAsia="pt-BR" w:bidi="ar-SA"/>
    </w:rPr>
  </w:style>
  <w:style w:type="character" w:customStyle="1" w:styleId="body10Char">
    <w:name w:val="body10 Char"/>
    <w:basedOn w:val="Fontepargpadro"/>
    <w:link w:val="body10"/>
    <w:locked/>
    <w:rsid w:val="00447996"/>
    <w:rPr>
      <w:rFonts w:cs="Times New Roman"/>
      <w:lang w:val="pt-BR" w:eastAsia="pt-BR" w:bidi="ar-SA"/>
    </w:rPr>
  </w:style>
  <w:style w:type="paragraph" w:customStyle="1" w:styleId="body80">
    <w:name w:val="body 8"/>
    <w:basedOn w:val="Normal"/>
    <w:link w:val="body8Char"/>
    <w:uiPriority w:val="99"/>
    <w:rsid w:val="00F720E5"/>
    <w:pPr>
      <w:autoSpaceDE w:val="0"/>
      <w:autoSpaceDN w:val="0"/>
      <w:adjustRightInd w:val="0"/>
      <w:spacing w:line="180" w:lineRule="atLeast"/>
      <w:ind w:firstLine="454"/>
    </w:pPr>
    <w:rPr>
      <w:sz w:val="16"/>
      <w:szCs w:val="16"/>
    </w:rPr>
  </w:style>
  <w:style w:type="character" w:styleId="Nmerodepgina">
    <w:name w:val="page number"/>
    <w:basedOn w:val="Fontepargpadro"/>
    <w:uiPriority w:val="99"/>
    <w:rsid w:val="007C5522"/>
    <w:rPr>
      <w:rFonts w:cs="Times New Roman"/>
    </w:rPr>
  </w:style>
  <w:style w:type="paragraph" w:customStyle="1" w:styleId="indiceesquerda0">
    <w:name w:val="indice + À esquerda:  0"/>
    <w:aliases w:val="8 cm"/>
    <w:basedOn w:val="Normal"/>
    <w:uiPriority w:val="99"/>
    <w:rsid w:val="004C2005"/>
    <w:pPr>
      <w:autoSpaceDE w:val="0"/>
      <w:autoSpaceDN w:val="0"/>
      <w:adjustRightInd w:val="0"/>
      <w:spacing w:line="260" w:lineRule="atLeast"/>
      <w:ind w:left="227"/>
    </w:pPr>
    <w:rPr>
      <w:sz w:val="22"/>
      <w:szCs w:val="22"/>
    </w:rPr>
  </w:style>
  <w:style w:type="paragraph" w:customStyle="1" w:styleId="Notadir">
    <w:name w:val="Nota dir"/>
    <w:basedOn w:val="Normal"/>
    <w:uiPriority w:val="99"/>
    <w:rsid w:val="00744F13"/>
    <w:pPr>
      <w:spacing w:line="264" w:lineRule="auto"/>
      <w:ind w:firstLine="567"/>
    </w:pPr>
  </w:style>
  <w:style w:type="character" w:customStyle="1" w:styleId="body8Char">
    <w:name w:val="body 8 Char"/>
    <w:basedOn w:val="Fontepargpadro"/>
    <w:link w:val="body80"/>
    <w:uiPriority w:val="99"/>
    <w:locked/>
    <w:rsid w:val="00380F0B"/>
    <w:rPr>
      <w:rFonts w:cs="Times New Roman"/>
      <w:sz w:val="16"/>
      <w:szCs w:val="16"/>
      <w:lang w:val="pt-BR" w:eastAsia="pt-BR" w:bidi="ar-SA"/>
    </w:rPr>
  </w:style>
  <w:style w:type="paragraph" w:styleId="NormalWeb">
    <w:name w:val="Normal (Web)"/>
    <w:basedOn w:val="Normal"/>
    <w:uiPriority w:val="99"/>
    <w:semiHidden/>
    <w:unhideWhenUsed/>
    <w:rsid w:val="00C27684"/>
    <w:pPr>
      <w:spacing w:before="100" w:beforeAutospacing="1" w:after="119"/>
      <w:jc w:val="left"/>
    </w:pPr>
    <w:rPr>
      <w:sz w:val="24"/>
      <w:szCs w:val="24"/>
    </w:rPr>
  </w:style>
  <w:style w:type="paragraph" w:styleId="Textodebalo">
    <w:name w:val="Balloon Text"/>
    <w:basedOn w:val="Normal"/>
    <w:link w:val="TextodebaloChar"/>
    <w:uiPriority w:val="99"/>
    <w:semiHidden/>
    <w:unhideWhenUsed/>
    <w:rsid w:val="007F0796"/>
    <w:rPr>
      <w:rFonts w:ascii="Tahoma" w:hAnsi="Tahoma" w:cs="Tahoma"/>
      <w:sz w:val="16"/>
      <w:szCs w:val="16"/>
    </w:rPr>
  </w:style>
  <w:style w:type="character" w:customStyle="1" w:styleId="TextodebaloChar">
    <w:name w:val="Texto de balão Char"/>
    <w:basedOn w:val="Fontepargpadro"/>
    <w:link w:val="Textodebalo"/>
    <w:uiPriority w:val="99"/>
    <w:semiHidden/>
    <w:locked/>
    <w:rsid w:val="007F0796"/>
    <w:rPr>
      <w:rFonts w:ascii="Tahoma" w:hAnsi="Tahoma" w:cs="Tahoma"/>
      <w:sz w:val="16"/>
      <w:szCs w:val="16"/>
    </w:rPr>
  </w:style>
  <w:style w:type="paragraph" w:customStyle="1" w:styleId="INFOCORPO">
    <w:name w:val="INFO CORPO"/>
    <w:basedOn w:val="Normal"/>
    <w:link w:val="INFOCORPOChar"/>
    <w:rsid w:val="003214B4"/>
    <w:pPr>
      <w:autoSpaceDE w:val="0"/>
      <w:autoSpaceDN w:val="0"/>
      <w:adjustRightInd w:val="0"/>
      <w:spacing w:line="220" w:lineRule="atLeast"/>
      <w:ind w:firstLine="454"/>
    </w:pPr>
    <w:rPr>
      <w:sz w:val="20"/>
      <w:szCs w:val="20"/>
    </w:rPr>
  </w:style>
  <w:style w:type="character" w:customStyle="1" w:styleId="INFOCORPOChar">
    <w:name w:val="INFO CORPO Char"/>
    <w:link w:val="INFOCORPO"/>
    <w:locked/>
    <w:rsid w:val="003214B4"/>
    <w:rPr>
      <w:sz w:val="20"/>
    </w:rPr>
  </w:style>
  <w:style w:type="paragraph" w:customStyle="1" w:styleId="STF-Padro">
    <w:name w:val="STF-Padrão"/>
    <w:basedOn w:val="Normal"/>
    <w:uiPriority w:val="99"/>
    <w:rsid w:val="00F52F38"/>
    <w:pPr>
      <w:widowControl w:val="0"/>
      <w:tabs>
        <w:tab w:val="left" w:pos="1701"/>
      </w:tabs>
      <w:autoSpaceDE w:val="0"/>
      <w:autoSpaceDN w:val="0"/>
      <w:adjustRightInd w:val="0"/>
      <w:spacing w:line="264" w:lineRule="auto"/>
      <w:ind w:firstLine="567"/>
    </w:pPr>
    <w:rPr>
      <w:rFonts w:ascii="Palatino Linotype" w:hAnsi="Palatino Linotype"/>
      <w:szCs w:val="24"/>
      <w:lang w:eastAsia="en-US"/>
    </w:rPr>
  </w:style>
  <w:style w:type="table" w:customStyle="1" w:styleId="Tabelacomgrade1">
    <w:name w:val="Tabela com grade1"/>
    <w:basedOn w:val="Tabelanormal"/>
    <w:next w:val="Tabelacomgrade"/>
    <w:uiPriority w:val="39"/>
    <w:rsid w:val="00F0770E"/>
    <w:pPr>
      <w:spacing w:after="0" w:line="240" w:lineRule="auto"/>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locked/>
    <w:rsid w:val="00F07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rsid w:val="009C2317"/>
    <w:rPr>
      <w:rFonts w:cs="Times New Roman"/>
      <w:color w:val="800080" w:themeColor="followedHyperlink"/>
      <w:u w:val="single"/>
    </w:rPr>
  </w:style>
  <w:style w:type="character" w:styleId="nfaseSutil">
    <w:name w:val="Subtle Emphasis"/>
    <w:basedOn w:val="Fontepargpadro"/>
    <w:uiPriority w:val="19"/>
    <w:qFormat/>
    <w:rsid w:val="00782479"/>
    <w:rPr>
      <w:rFonts w:cs="Times New Roman"/>
      <w:i/>
      <w:iCs/>
      <w:color w:val="404040" w:themeColor="text1" w:themeTint="BF"/>
    </w:rPr>
  </w:style>
  <w:style w:type="paragraph" w:styleId="PargrafodaLista">
    <w:name w:val="List Paragraph"/>
    <w:basedOn w:val="Normal"/>
    <w:uiPriority w:val="34"/>
    <w:qFormat/>
    <w:rsid w:val="008F6510"/>
    <w:pPr>
      <w:ind w:left="708"/>
    </w:pPr>
  </w:style>
  <w:style w:type="character" w:styleId="Forte">
    <w:name w:val="Strong"/>
    <w:basedOn w:val="Fontepargpadro"/>
    <w:uiPriority w:val="22"/>
    <w:qFormat/>
    <w:locked/>
    <w:rsid w:val="00522929"/>
    <w:rPr>
      <w:rFonts w:cs="Times New Roman"/>
      <w:b/>
    </w:rPr>
  </w:style>
  <w:style w:type="character" w:customStyle="1" w:styleId="MenoPendente1">
    <w:name w:val="Menção Pendente1"/>
    <w:basedOn w:val="Fontepargpadro"/>
    <w:uiPriority w:val="99"/>
    <w:semiHidden/>
    <w:unhideWhenUsed/>
    <w:rsid w:val="000A2FF8"/>
    <w:rPr>
      <w:rFonts w:cs="Times New Roman"/>
      <w:color w:val="605E5C"/>
      <w:shd w:val="clear" w:color="auto" w:fill="E1DFDD"/>
    </w:rPr>
  </w:style>
  <w:style w:type="character" w:customStyle="1" w:styleId="MenoPendente2">
    <w:name w:val="Menção Pendente2"/>
    <w:basedOn w:val="Fontepargpadro"/>
    <w:uiPriority w:val="99"/>
    <w:semiHidden/>
    <w:unhideWhenUsed/>
    <w:rsid w:val="00BC79C6"/>
    <w:rPr>
      <w:color w:val="605E5C"/>
      <w:shd w:val="clear" w:color="auto" w:fill="E1DFDD"/>
    </w:rPr>
  </w:style>
  <w:style w:type="character" w:styleId="MenoPendente">
    <w:name w:val="Unresolved Mention"/>
    <w:basedOn w:val="Fontepargpadro"/>
    <w:uiPriority w:val="99"/>
    <w:semiHidden/>
    <w:unhideWhenUsed/>
    <w:rsid w:val="00533B44"/>
    <w:rPr>
      <w:color w:val="605E5C"/>
      <w:shd w:val="clear" w:color="auto" w:fill="E1DFDD"/>
    </w:rPr>
  </w:style>
  <w:style w:type="character" w:customStyle="1" w:styleId="tit1Char">
    <w:name w:val="tit 1 Char"/>
    <w:basedOn w:val="Fontepargpadro"/>
    <w:link w:val="tit10"/>
    <w:uiPriority w:val="99"/>
    <w:rsid w:val="00472C7E"/>
    <w:rPr>
      <w:b/>
      <w:bCs/>
      <w:i/>
      <w:iCs/>
      <w:color w:val="000000"/>
    </w:rPr>
  </w:style>
  <w:style w:type="character" w:customStyle="1" w:styleId="normaltextrun">
    <w:name w:val="normaltextrun"/>
    <w:rsid w:val="00437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0694">
      <w:bodyDiv w:val="1"/>
      <w:marLeft w:val="0"/>
      <w:marRight w:val="0"/>
      <w:marTop w:val="0"/>
      <w:marBottom w:val="0"/>
      <w:divBdr>
        <w:top w:val="none" w:sz="0" w:space="0" w:color="auto"/>
        <w:left w:val="none" w:sz="0" w:space="0" w:color="auto"/>
        <w:bottom w:val="none" w:sz="0" w:space="0" w:color="auto"/>
        <w:right w:val="none" w:sz="0" w:space="0" w:color="auto"/>
      </w:divBdr>
    </w:div>
    <w:div w:id="128868051">
      <w:bodyDiv w:val="1"/>
      <w:marLeft w:val="0"/>
      <w:marRight w:val="0"/>
      <w:marTop w:val="0"/>
      <w:marBottom w:val="0"/>
      <w:divBdr>
        <w:top w:val="none" w:sz="0" w:space="0" w:color="auto"/>
        <w:left w:val="none" w:sz="0" w:space="0" w:color="auto"/>
        <w:bottom w:val="none" w:sz="0" w:space="0" w:color="auto"/>
        <w:right w:val="none" w:sz="0" w:space="0" w:color="auto"/>
      </w:divBdr>
      <w:divsChild>
        <w:div w:id="1849825036">
          <w:marLeft w:val="0"/>
          <w:marRight w:val="0"/>
          <w:marTop w:val="0"/>
          <w:marBottom w:val="0"/>
          <w:divBdr>
            <w:top w:val="none" w:sz="0" w:space="0" w:color="auto"/>
            <w:left w:val="none" w:sz="0" w:space="0" w:color="auto"/>
            <w:bottom w:val="none" w:sz="0" w:space="0" w:color="auto"/>
            <w:right w:val="none" w:sz="0" w:space="0" w:color="auto"/>
          </w:divBdr>
          <w:divsChild>
            <w:div w:id="1865247754">
              <w:marLeft w:val="0"/>
              <w:marRight w:val="0"/>
              <w:marTop w:val="0"/>
              <w:marBottom w:val="0"/>
              <w:divBdr>
                <w:top w:val="none" w:sz="0" w:space="0" w:color="auto"/>
                <w:left w:val="none" w:sz="0" w:space="0" w:color="auto"/>
                <w:bottom w:val="none" w:sz="0" w:space="0" w:color="auto"/>
                <w:right w:val="none" w:sz="0" w:space="0" w:color="auto"/>
              </w:divBdr>
              <w:divsChild>
                <w:div w:id="10710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21032">
          <w:marLeft w:val="0"/>
          <w:marRight w:val="0"/>
          <w:marTop w:val="0"/>
          <w:marBottom w:val="0"/>
          <w:divBdr>
            <w:top w:val="none" w:sz="0" w:space="0" w:color="auto"/>
            <w:left w:val="none" w:sz="0" w:space="0" w:color="auto"/>
            <w:bottom w:val="none" w:sz="0" w:space="0" w:color="auto"/>
            <w:right w:val="none" w:sz="0" w:space="0" w:color="auto"/>
          </w:divBdr>
          <w:divsChild>
            <w:div w:id="760762085">
              <w:marLeft w:val="0"/>
              <w:marRight w:val="0"/>
              <w:marTop w:val="0"/>
              <w:marBottom w:val="0"/>
              <w:divBdr>
                <w:top w:val="none" w:sz="0" w:space="0" w:color="auto"/>
                <w:left w:val="none" w:sz="0" w:space="0" w:color="auto"/>
                <w:bottom w:val="none" w:sz="0" w:space="0" w:color="auto"/>
                <w:right w:val="none" w:sz="0" w:space="0" w:color="auto"/>
              </w:divBdr>
            </w:div>
            <w:div w:id="93540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90690">
      <w:marLeft w:val="0"/>
      <w:marRight w:val="0"/>
      <w:marTop w:val="0"/>
      <w:marBottom w:val="0"/>
      <w:divBdr>
        <w:top w:val="none" w:sz="0" w:space="0" w:color="auto"/>
        <w:left w:val="none" w:sz="0" w:space="0" w:color="auto"/>
        <w:bottom w:val="none" w:sz="0" w:space="0" w:color="auto"/>
        <w:right w:val="none" w:sz="0" w:space="0" w:color="auto"/>
      </w:divBdr>
      <w:divsChild>
        <w:div w:id="313990649">
          <w:marLeft w:val="0"/>
          <w:marRight w:val="0"/>
          <w:marTop w:val="0"/>
          <w:marBottom w:val="0"/>
          <w:divBdr>
            <w:top w:val="none" w:sz="0" w:space="0" w:color="auto"/>
            <w:left w:val="none" w:sz="0" w:space="0" w:color="auto"/>
            <w:bottom w:val="none" w:sz="0" w:space="0" w:color="auto"/>
            <w:right w:val="none" w:sz="0" w:space="0" w:color="auto"/>
          </w:divBdr>
        </w:div>
        <w:div w:id="313990650">
          <w:marLeft w:val="0"/>
          <w:marRight w:val="0"/>
          <w:marTop w:val="0"/>
          <w:marBottom w:val="0"/>
          <w:divBdr>
            <w:top w:val="none" w:sz="0" w:space="0" w:color="auto"/>
            <w:left w:val="none" w:sz="0" w:space="0" w:color="auto"/>
            <w:bottom w:val="none" w:sz="0" w:space="0" w:color="auto"/>
            <w:right w:val="none" w:sz="0" w:space="0" w:color="auto"/>
          </w:divBdr>
        </w:div>
        <w:div w:id="313990651">
          <w:marLeft w:val="0"/>
          <w:marRight w:val="0"/>
          <w:marTop w:val="0"/>
          <w:marBottom w:val="0"/>
          <w:divBdr>
            <w:top w:val="none" w:sz="0" w:space="0" w:color="auto"/>
            <w:left w:val="none" w:sz="0" w:space="0" w:color="auto"/>
            <w:bottom w:val="none" w:sz="0" w:space="0" w:color="auto"/>
            <w:right w:val="none" w:sz="0" w:space="0" w:color="auto"/>
          </w:divBdr>
        </w:div>
        <w:div w:id="313990652">
          <w:marLeft w:val="0"/>
          <w:marRight w:val="0"/>
          <w:marTop w:val="0"/>
          <w:marBottom w:val="0"/>
          <w:divBdr>
            <w:top w:val="none" w:sz="0" w:space="0" w:color="auto"/>
            <w:left w:val="none" w:sz="0" w:space="0" w:color="auto"/>
            <w:bottom w:val="none" w:sz="0" w:space="0" w:color="auto"/>
            <w:right w:val="none" w:sz="0" w:space="0" w:color="auto"/>
          </w:divBdr>
        </w:div>
        <w:div w:id="313990653">
          <w:marLeft w:val="0"/>
          <w:marRight w:val="0"/>
          <w:marTop w:val="0"/>
          <w:marBottom w:val="0"/>
          <w:divBdr>
            <w:top w:val="none" w:sz="0" w:space="0" w:color="auto"/>
            <w:left w:val="none" w:sz="0" w:space="0" w:color="auto"/>
            <w:bottom w:val="none" w:sz="0" w:space="0" w:color="auto"/>
            <w:right w:val="none" w:sz="0" w:space="0" w:color="auto"/>
          </w:divBdr>
        </w:div>
        <w:div w:id="313990654">
          <w:marLeft w:val="0"/>
          <w:marRight w:val="0"/>
          <w:marTop w:val="0"/>
          <w:marBottom w:val="0"/>
          <w:divBdr>
            <w:top w:val="none" w:sz="0" w:space="0" w:color="auto"/>
            <w:left w:val="none" w:sz="0" w:space="0" w:color="auto"/>
            <w:bottom w:val="none" w:sz="0" w:space="0" w:color="auto"/>
            <w:right w:val="none" w:sz="0" w:space="0" w:color="auto"/>
          </w:divBdr>
        </w:div>
        <w:div w:id="313990655">
          <w:marLeft w:val="0"/>
          <w:marRight w:val="0"/>
          <w:marTop w:val="0"/>
          <w:marBottom w:val="0"/>
          <w:divBdr>
            <w:top w:val="none" w:sz="0" w:space="0" w:color="auto"/>
            <w:left w:val="none" w:sz="0" w:space="0" w:color="auto"/>
            <w:bottom w:val="none" w:sz="0" w:space="0" w:color="auto"/>
            <w:right w:val="none" w:sz="0" w:space="0" w:color="auto"/>
          </w:divBdr>
        </w:div>
        <w:div w:id="313990656">
          <w:marLeft w:val="0"/>
          <w:marRight w:val="0"/>
          <w:marTop w:val="0"/>
          <w:marBottom w:val="0"/>
          <w:divBdr>
            <w:top w:val="none" w:sz="0" w:space="0" w:color="auto"/>
            <w:left w:val="none" w:sz="0" w:space="0" w:color="auto"/>
            <w:bottom w:val="none" w:sz="0" w:space="0" w:color="auto"/>
            <w:right w:val="none" w:sz="0" w:space="0" w:color="auto"/>
          </w:divBdr>
        </w:div>
        <w:div w:id="313990657">
          <w:marLeft w:val="0"/>
          <w:marRight w:val="0"/>
          <w:marTop w:val="0"/>
          <w:marBottom w:val="0"/>
          <w:divBdr>
            <w:top w:val="none" w:sz="0" w:space="0" w:color="auto"/>
            <w:left w:val="none" w:sz="0" w:space="0" w:color="auto"/>
            <w:bottom w:val="none" w:sz="0" w:space="0" w:color="auto"/>
            <w:right w:val="none" w:sz="0" w:space="0" w:color="auto"/>
          </w:divBdr>
        </w:div>
        <w:div w:id="313990658">
          <w:marLeft w:val="0"/>
          <w:marRight w:val="0"/>
          <w:marTop w:val="0"/>
          <w:marBottom w:val="0"/>
          <w:divBdr>
            <w:top w:val="none" w:sz="0" w:space="0" w:color="auto"/>
            <w:left w:val="none" w:sz="0" w:space="0" w:color="auto"/>
            <w:bottom w:val="none" w:sz="0" w:space="0" w:color="auto"/>
            <w:right w:val="none" w:sz="0" w:space="0" w:color="auto"/>
          </w:divBdr>
        </w:div>
        <w:div w:id="313990659">
          <w:marLeft w:val="0"/>
          <w:marRight w:val="0"/>
          <w:marTop w:val="0"/>
          <w:marBottom w:val="0"/>
          <w:divBdr>
            <w:top w:val="none" w:sz="0" w:space="0" w:color="auto"/>
            <w:left w:val="none" w:sz="0" w:space="0" w:color="auto"/>
            <w:bottom w:val="none" w:sz="0" w:space="0" w:color="auto"/>
            <w:right w:val="none" w:sz="0" w:space="0" w:color="auto"/>
          </w:divBdr>
        </w:div>
        <w:div w:id="313990660">
          <w:marLeft w:val="0"/>
          <w:marRight w:val="0"/>
          <w:marTop w:val="0"/>
          <w:marBottom w:val="0"/>
          <w:divBdr>
            <w:top w:val="none" w:sz="0" w:space="0" w:color="auto"/>
            <w:left w:val="none" w:sz="0" w:space="0" w:color="auto"/>
            <w:bottom w:val="none" w:sz="0" w:space="0" w:color="auto"/>
            <w:right w:val="none" w:sz="0" w:space="0" w:color="auto"/>
          </w:divBdr>
        </w:div>
        <w:div w:id="313990661">
          <w:marLeft w:val="0"/>
          <w:marRight w:val="0"/>
          <w:marTop w:val="0"/>
          <w:marBottom w:val="0"/>
          <w:divBdr>
            <w:top w:val="none" w:sz="0" w:space="0" w:color="auto"/>
            <w:left w:val="none" w:sz="0" w:space="0" w:color="auto"/>
            <w:bottom w:val="none" w:sz="0" w:space="0" w:color="auto"/>
            <w:right w:val="none" w:sz="0" w:space="0" w:color="auto"/>
          </w:divBdr>
        </w:div>
        <w:div w:id="313990662">
          <w:marLeft w:val="0"/>
          <w:marRight w:val="0"/>
          <w:marTop w:val="0"/>
          <w:marBottom w:val="0"/>
          <w:divBdr>
            <w:top w:val="none" w:sz="0" w:space="0" w:color="auto"/>
            <w:left w:val="none" w:sz="0" w:space="0" w:color="auto"/>
            <w:bottom w:val="none" w:sz="0" w:space="0" w:color="auto"/>
            <w:right w:val="none" w:sz="0" w:space="0" w:color="auto"/>
          </w:divBdr>
        </w:div>
        <w:div w:id="313990663">
          <w:marLeft w:val="0"/>
          <w:marRight w:val="0"/>
          <w:marTop w:val="0"/>
          <w:marBottom w:val="0"/>
          <w:divBdr>
            <w:top w:val="none" w:sz="0" w:space="0" w:color="auto"/>
            <w:left w:val="none" w:sz="0" w:space="0" w:color="auto"/>
            <w:bottom w:val="none" w:sz="0" w:space="0" w:color="auto"/>
            <w:right w:val="none" w:sz="0" w:space="0" w:color="auto"/>
          </w:divBdr>
        </w:div>
        <w:div w:id="313990664">
          <w:marLeft w:val="0"/>
          <w:marRight w:val="0"/>
          <w:marTop w:val="0"/>
          <w:marBottom w:val="0"/>
          <w:divBdr>
            <w:top w:val="none" w:sz="0" w:space="0" w:color="auto"/>
            <w:left w:val="none" w:sz="0" w:space="0" w:color="auto"/>
            <w:bottom w:val="none" w:sz="0" w:space="0" w:color="auto"/>
            <w:right w:val="none" w:sz="0" w:space="0" w:color="auto"/>
          </w:divBdr>
        </w:div>
        <w:div w:id="313990665">
          <w:marLeft w:val="0"/>
          <w:marRight w:val="0"/>
          <w:marTop w:val="0"/>
          <w:marBottom w:val="0"/>
          <w:divBdr>
            <w:top w:val="none" w:sz="0" w:space="0" w:color="auto"/>
            <w:left w:val="none" w:sz="0" w:space="0" w:color="auto"/>
            <w:bottom w:val="none" w:sz="0" w:space="0" w:color="auto"/>
            <w:right w:val="none" w:sz="0" w:space="0" w:color="auto"/>
          </w:divBdr>
        </w:div>
        <w:div w:id="313990666">
          <w:marLeft w:val="0"/>
          <w:marRight w:val="0"/>
          <w:marTop w:val="0"/>
          <w:marBottom w:val="0"/>
          <w:divBdr>
            <w:top w:val="none" w:sz="0" w:space="0" w:color="auto"/>
            <w:left w:val="none" w:sz="0" w:space="0" w:color="auto"/>
            <w:bottom w:val="none" w:sz="0" w:space="0" w:color="auto"/>
            <w:right w:val="none" w:sz="0" w:space="0" w:color="auto"/>
          </w:divBdr>
        </w:div>
        <w:div w:id="313990667">
          <w:marLeft w:val="0"/>
          <w:marRight w:val="0"/>
          <w:marTop w:val="0"/>
          <w:marBottom w:val="0"/>
          <w:divBdr>
            <w:top w:val="none" w:sz="0" w:space="0" w:color="auto"/>
            <w:left w:val="none" w:sz="0" w:space="0" w:color="auto"/>
            <w:bottom w:val="none" w:sz="0" w:space="0" w:color="auto"/>
            <w:right w:val="none" w:sz="0" w:space="0" w:color="auto"/>
          </w:divBdr>
        </w:div>
        <w:div w:id="313990668">
          <w:marLeft w:val="0"/>
          <w:marRight w:val="0"/>
          <w:marTop w:val="0"/>
          <w:marBottom w:val="0"/>
          <w:divBdr>
            <w:top w:val="none" w:sz="0" w:space="0" w:color="auto"/>
            <w:left w:val="none" w:sz="0" w:space="0" w:color="auto"/>
            <w:bottom w:val="none" w:sz="0" w:space="0" w:color="auto"/>
            <w:right w:val="none" w:sz="0" w:space="0" w:color="auto"/>
          </w:divBdr>
        </w:div>
        <w:div w:id="313990669">
          <w:marLeft w:val="0"/>
          <w:marRight w:val="0"/>
          <w:marTop w:val="0"/>
          <w:marBottom w:val="0"/>
          <w:divBdr>
            <w:top w:val="none" w:sz="0" w:space="0" w:color="auto"/>
            <w:left w:val="none" w:sz="0" w:space="0" w:color="auto"/>
            <w:bottom w:val="none" w:sz="0" w:space="0" w:color="auto"/>
            <w:right w:val="none" w:sz="0" w:space="0" w:color="auto"/>
          </w:divBdr>
        </w:div>
        <w:div w:id="313990670">
          <w:marLeft w:val="0"/>
          <w:marRight w:val="0"/>
          <w:marTop w:val="0"/>
          <w:marBottom w:val="0"/>
          <w:divBdr>
            <w:top w:val="none" w:sz="0" w:space="0" w:color="auto"/>
            <w:left w:val="none" w:sz="0" w:space="0" w:color="auto"/>
            <w:bottom w:val="none" w:sz="0" w:space="0" w:color="auto"/>
            <w:right w:val="none" w:sz="0" w:space="0" w:color="auto"/>
          </w:divBdr>
        </w:div>
        <w:div w:id="313990671">
          <w:marLeft w:val="0"/>
          <w:marRight w:val="0"/>
          <w:marTop w:val="0"/>
          <w:marBottom w:val="0"/>
          <w:divBdr>
            <w:top w:val="none" w:sz="0" w:space="0" w:color="auto"/>
            <w:left w:val="none" w:sz="0" w:space="0" w:color="auto"/>
            <w:bottom w:val="none" w:sz="0" w:space="0" w:color="auto"/>
            <w:right w:val="none" w:sz="0" w:space="0" w:color="auto"/>
          </w:divBdr>
        </w:div>
        <w:div w:id="313990672">
          <w:marLeft w:val="0"/>
          <w:marRight w:val="0"/>
          <w:marTop w:val="0"/>
          <w:marBottom w:val="0"/>
          <w:divBdr>
            <w:top w:val="none" w:sz="0" w:space="0" w:color="auto"/>
            <w:left w:val="none" w:sz="0" w:space="0" w:color="auto"/>
            <w:bottom w:val="none" w:sz="0" w:space="0" w:color="auto"/>
            <w:right w:val="none" w:sz="0" w:space="0" w:color="auto"/>
          </w:divBdr>
        </w:div>
        <w:div w:id="313990673">
          <w:marLeft w:val="0"/>
          <w:marRight w:val="0"/>
          <w:marTop w:val="0"/>
          <w:marBottom w:val="0"/>
          <w:divBdr>
            <w:top w:val="none" w:sz="0" w:space="0" w:color="auto"/>
            <w:left w:val="none" w:sz="0" w:space="0" w:color="auto"/>
            <w:bottom w:val="none" w:sz="0" w:space="0" w:color="auto"/>
            <w:right w:val="none" w:sz="0" w:space="0" w:color="auto"/>
          </w:divBdr>
        </w:div>
        <w:div w:id="313990674">
          <w:marLeft w:val="0"/>
          <w:marRight w:val="0"/>
          <w:marTop w:val="0"/>
          <w:marBottom w:val="0"/>
          <w:divBdr>
            <w:top w:val="none" w:sz="0" w:space="0" w:color="auto"/>
            <w:left w:val="none" w:sz="0" w:space="0" w:color="auto"/>
            <w:bottom w:val="none" w:sz="0" w:space="0" w:color="auto"/>
            <w:right w:val="none" w:sz="0" w:space="0" w:color="auto"/>
          </w:divBdr>
        </w:div>
        <w:div w:id="313990675">
          <w:marLeft w:val="0"/>
          <w:marRight w:val="0"/>
          <w:marTop w:val="0"/>
          <w:marBottom w:val="0"/>
          <w:divBdr>
            <w:top w:val="none" w:sz="0" w:space="0" w:color="auto"/>
            <w:left w:val="none" w:sz="0" w:space="0" w:color="auto"/>
            <w:bottom w:val="none" w:sz="0" w:space="0" w:color="auto"/>
            <w:right w:val="none" w:sz="0" w:space="0" w:color="auto"/>
          </w:divBdr>
        </w:div>
        <w:div w:id="313990676">
          <w:marLeft w:val="0"/>
          <w:marRight w:val="0"/>
          <w:marTop w:val="0"/>
          <w:marBottom w:val="0"/>
          <w:divBdr>
            <w:top w:val="none" w:sz="0" w:space="0" w:color="auto"/>
            <w:left w:val="none" w:sz="0" w:space="0" w:color="auto"/>
            <w:bottom w:val="none" w:sz="0" w:space="0" w:color="auto"/>
            <w:right w:val="none" w:sz="0" w:space="0" w:color="auto"/>
          </w:divBdr>
        </w:div>
        <w:div w:id="313990677">
          <w:marLeft w:val="0"/>
          <w:marRight w:val="0"/>
          <w:marTop w:val="0"/>
          <w:marBottom w:val="0"/>
          <w:divBdr>
            <w:top w:val="none" w:sz="0" w:space="0" w:color="auto"/>
            <w:left w:val="none" w:sz="0" w:space="0" w:color="auto"/>
            <w:bottom w:val="none" w:sz="0" w:space="0" w:color="auto"/>
            <w:right w:val="none" w:sz="0" w:space="0" w:color="auto"/>
          </w:divBdr>
        </w:div>
        <w:div w:id="313990678">
          <w:marLeft w:val="0"/>
          <w:marRight w:val="0"/>
          <w:marTop w:val="0"/>
          <w:marBottom w:val="0"/>
          <w:divBdr>
            <w:top w:val="none" w:sz="0" w:space="0" w:color="auto"/>
            <w:left w:val="none" w:sz="0" w:space="0" w:color="auto"/>
            <w:bottom w:val="none" w:sz="0" w:space="0" w:color="auto"/>
            <w:right w:val="none" w:sz="0" w:space="0" w:color="auto"/>
          </w:divBdr>
        </w:div>
        <w:div w:id="313990679">
          <w:marLeft w:val="0"/>
          <w:marRight w:val="0"/>
          <w:marTop w:val="0"/>
          <w:marBottom w:val="0"/>
          <w:divBdr>
            <w:top w:val="none" w:sz="0" w:space="0" w:color="auto"/>
            <w:left w:val="none" w:sz="0" w:space="0" w:color="auto"/>
            <w:bottom w:val="none" w:sz="0" w:space="0" w:color="auto"/>
            <w:right w:val="none" w:sz="0" w:space="0" w:color="auto"/>
          </w:divBdr>
        </w:div>
        <w:div w:id="313990680">
          <w:marLeft w:val="0"/>
          <w:marRight w:val="0"/>
          <w:marTop w:val="0"/>
          <w:marBottom w:val="0"/>
          <w:divBdr>
            <w:top w:val="none" w:sz="0" w:space="0" w:color="auto"/>
            <w:left w:val="none" w:sz="0" w:space="0" w:color="auto"/>
            <w:bottom w:val="none" w:sz="0" w:space="0" w:color="auto"/>
            <w:right w:val="none" w:sz="0" w:space="0" w:color="auto"/>
          </w:divBdr>
        </w:div>
        <w:div w:id="313990681">
          <w:marLeft w:val="0"/>
          <w:marRight w:val="0"/>
          <w:marTop w:val="0"/>
          <w:marBottom w:val="0"/>
          <w:divBdr>
            <w:top w:val="none" w:sz="0" w:space="0" w:color="auto"/>
            <w:left w:val="none" w:sz="0" w:space="0" w:color="auto"/>
            <w:bottom w:val="none" w:sz="0" w:space="0" w:color="auto"/>
            <w:right w:val="none" w:sz="0" w:space="0" w:color="auto"/>
          </w:divBdr>
        </w:div>
        <w:div w:id="313990682">
          <w:marLeft w:val="0"/>
          <w:marRight w:val="0"/>
          <w:marTop w:val="0"/>
          <w:marBottom w:val="0"/>
          <w:divBdr>
            <w:top w:val="none" w:sz="0" w:space="0" w:color="auto"/>
            <w:left w:val="none" w:sz="0" w:space="0" w:color="auto"/>
            <w:bottom w:val="none" w:sz="0" w:space="0" w:color="auto"/>
            <w:right w:val="none" w:sz="0" w:space="0" w:color="auto"/>
          </w:divBdr>
        </w:div>
        <w:div w:id="313990683">
          <w:marLeft w:val="0"/>
          <w:marRight w:val="0"/>
          <w:marTop w:val="0"/>
          <w:marBottom w:val="0"/>
          <w:divBdr>
            <w:top w:val="none" w:sz="0" w:space="0" w:color="auto"/>
            <w:left w:val="none" w:sz="0" w:space="0" w:color="auto"/>
            <w:bottom w:val="none" w:sz="0" w:space="0" w:color="auto"/>
            <w:right w:val="none" w:sz="0" w:space="0" w:color="auto"/>
          </w:divBdr>
        </w:div>
        <w:div w:id="313990684">
          <w:marLeft w:val="0"/>
          <w:marRight w:val="0"/>
          <w:marTop w:val="0"/>
          <w:marBottom w:val="0"/>
          <w:divBdr>
            <w:top w:val="none" w:sz="0" w:space="0" w:color="auto"/>
            <w:left w:val="none" w:sz="0" w:space="0" w:color="auto"/>
            <w:bottom w:val="none" w:sz="0" w:space="0" w:color="auto"/>
            <w:right w:val="none" w:sz="0" w:space="0" w:color="auto"/>
          </w:divBdr>
        </w:div>
        <w:div w:id="313990685">
          <w:marLeft w:val="0"/>
          <w:marRight w:val="0"/>
          <w:marTop w:val="0"/>
          <w:marBottom w:val="0"/>
          <w:divBdr>
            <w:top w:val="none" w:sz="0" w:space="0" w:color="auto"/>
            <w:left w:val="none" w:sz="0" w:space="0" w:color="auto"/>
            <w:bottom w:val="none" w:sz="0" w:space="0" w:color="auto"/>
            <w:right w:val="none" w:sz="0" w:space="0" w:color="auto"/>
          </w:divBdr>
        </w:div>
        <w:div w:id="313990686">
          <w:marLeft w:val="0"/>
          <w:marRight w:val="0"/>
          <w:marTop w:val="0"/>
          <w:marBottom w:val="0"/>
          <w:divBdr>
            <w:top w:val="none" w:sz="0" w:space="0" w:color="auto"/>
            <w:left w:val="none" w:sz="0" w:space="0" w:color="auto"/>
            <w:bottom w:val="none" w:sz="0" w:space="0" w:color="auto"/>
            <w:right w:val="none" w:sz="0" w:space="0" w:color="auto"/>
          </w:divBdr>
        </w:div>
        <w:div w:id="313990687">
          <w:marLeft w:val="0"/>
          <w:marRight w:val="0"/>
          <w:marTop w:val="0"/>
          <w:marBottom w:val="0"/>
          <w:divBdr>
            <w:top w:val="none" w:sz="0" w:space="0" w:color="auto"/>
            <w:left w:val="none" w:sz="0" w:space="0" w:color="auto"/>
            <w:bottom w:val="none" w:sz="0" w:space="0" w:color="auto"/>
            <w:right w:val="none" w:sz="0" w:space="0" w:color="auto"/>
          </w:divBdr>
        </w:div>
        <w:div w:id="313990688">
          <w:marLeft w:val="0"/>
          <w:marRight w:val="0"/>
          <w:marTop w:val="0"/>
          <w:marBottom w:val="0"/>
          <w:divBdr>
            <w:top w:val="none" w:sz="0" w:space="0" w:color="auto"/>
            <w:left w:val="none" w:sz="0" w:space="0" w:color="auto"/>
            <w:bottom w:val="none" w:sz="0" w:space="0" w:color="auto"/>
            <w:right w:val="none" w:sz="0" w:space="0" w:color="auto"/>
          </w:divBdr>
        </w:div>
        <w:div w:id="313990689">
          <w:marLeft w:val="0"/>
          <w:marRight w:val="0"/>
          <w:marTop w:val="0"/>
          <w:marBottom w:val="0"/>
          <w:divBdr>
            <w:top w:val="none" w:sz="0" w:space="0" w:color="auto"/>
            <w:left w:val="none" w:sz="0" w:space="0" w:color="auto"/>
            <w:bottom w:val="none" w:sz="0" w:space="0" w:color="auto"/>
            <w:right w:val="none" w:sz="0" w:space="0" w:color="auto"/>
          </w:divBdr>
        </w:div>
        <w:div w:id="313990691">
          <w:marLeft w:val="0"/>
          <w:marRight w:val="0"/>
          <w:marTop w:val="0"/>
          <w:marBottom w:val="0"/>
          <w:divBdr>
            <w:top w:val="none" w:sz="0" w:space="0" w:color="auto"/>
            <w:left w:val="none" w:sz="0" w:space="0" w:color="auto"/>
            <w:bottom w:val="none" w:sz="0" w:space="0" w:color="auto"/>
            <w:right w:val="none" w:sz="0" w:space="0" w:color="auto"/>
          </w:divBdr>
        </w:div>
        <w:div w:id="313990692">
          <w:marLeft w:val="0"/>
          <w:marRight w:val="0"/>
          <w:marTop w:val="0"/>
          <w:marBottom w:val="0"/>
          <w:divBdr>
            <w:top w:val="none" w:sz="0" w:space="0" w:color="auto"/>
            <w:left w:val="none" w:sz="0" w:space="0" w:color="auto"/>
            <w:bottom w:val="none" w:sz="0" w:space="0" w:color="auto"/>
            <w:right w:val="none" w:sz="0" w:space="0" w:color="auto"/>
          </w:divBdr>
        </w:div>
        <w:div w:id="313990693">
          <w:marLeft w:val="0"/>
          <w:marRight w:val="0"/>
          <w:marTop w:val="0"/>
          <w:marBottom w:val="0"/>
          <w:divBdr>
            <w:top w:val="none" w:sz="0" w:space="0" w:color="auto"/>
            <w:left w:val="none" w:sz="0" w:space="0" w:color="auto"/>
            <w:bottom w:val="none" w:sz="0" w:space="0" w:color="auto"/>
            <w:right w:val="none" w:sz="0" w:space="0" w:color="auto"/>
          </w:divBdr>
        </w:div>
        <w:div w:id="313990694">
          <w:marLeft w:val="0"/>
          <w:marRight w:val="0"/>
          <w:marTop w:val="0"/>
          <w:marBottom w:val="0"/>
          <w:divBdr>
            <w:top w:val="none" w:sz="0" w:space="0" w:color="auto"/>
            <w:left w:val="none" w:sz="0" w:space="0" w:color="auto"/>
            <w:bottom w:val="none" w:sz="0" w:space="0" w:color="auto"/>
            <w:right w:val="none" w:sz="0" w:space="0" w:color="auto"/>
          </w:divBdr>
        </w:div>
        <w:div w:id="313990695">
          <w:marLeft w:val="0"/>
          <w:marRight w:val="0"/>
          <w:marTop w:val="0"/>
          <w:marBottom w:val="0"/>
          <w:divBdr>
            <w:top w:val="none" w:sz="0" w:space="0" w:color="auto"/>
            <w:left w:val="none" w:sz="0" w:space="0" w:color="auto"/>
            <w:bottom w:val="none" w:sz="0" w:space="0" w:color="auto"/>
            <w:right w:val="none" w:sz="0" w:space="0" w:color="auto"/>
          </w:divBdr>
        </w:div>
        <w:div w:id="313990696">
          <w:marLeft w:val="0"/>
          <w:marRight w:val="0"/>
          <w:marTop w:val="0"/>
          <w:marBottom w:val="0"/>
          <w:divBdr>
            <w:top w:val="none" w:sz="0" w:space="0" w:color="auto"/>
            <w:left w:val="none" w:sz="0" w:space="0" w:color="auto"/>
            <w:bottom w:val="none" w:sz="0" w:space="0" w:color="auto"/>
            <w:right w:val="none" w:sz="0" w:space="0" w:color="auto"/>
          </w:divBdr>
        </w:div>
        <w:div w:id="313990697">
          <w:marLeft w:val="0"/>
          <w:marRight w:val="0"/>
          <w:marTop w:val="0"/>
          <w:marBottom w:val="0"/>
          <w:divBdr>
            <w:top w:val="none" w:sz="0" w:space="0" w:color="auto"/>
            <w:left w:val="none" w:sz="0" w:space="0" w:color="auto"/>
            <w:bottom w:val="none" w:sz="0" w:space="0" w:color="auto"/>
            <w:right w:val="none" w:sz="0" w:space="0" w:color="auto"/>
          </w:divBdr>
        </w:div>
        <w:div w:id="313990698">
          <w:marLeft w:val="0"/>
          <w:marRight w:val="0"/>
          <w:marTop w:val="0"/>
          <w:marBottom w:val="0"/>
          <w:divBdr>
            <w:top w:val="none" w:sz="0" w:space="0" w:color="auto"/>
            <w:left w:val="none" w:sz="0" w:space="0" w:color="auto"/>
            <w:bottom w:val="none" w:sz="0" w:space="0" w:color="auto"/>
            <w:right w:val="none" w:sz="0" w:space="0" w:color="auto"/>
          </w:divBdr>
        </w:div>
        <w:div w:id="313990699">
          <w:marLeft w:val="0"/>
          <w:marRight w:val="0"/>
          <w:marTop w:val="0"/>
          <w:marBottom w:val="0"/>
          <w:divBdr>
            <w:top w:val="none" w:sz="0" w:space="0" w:color="auto"/>
            <w:left w:val="none" w:sz="0" w:space="0" w:color="auto"/>
            <w:bottom w:val="none" w:sz="0" w:space="0" w:color="auto"/>
            <w:right w:val="none" w:sz="0" w:space="0" w:color="auto"/>
          </w:divBdr>
        </w:div>
        <w:div w:id="313990700">
          <w:marLeft w:val="0"/>
          <w:marRight w:val="0"/>
          <w:marTop w:val="0"/>
          <w:marBottom w:val="0"/>
          <w:divBdr>
            <w:top w:val="none" w:sz="0" w:space="0" w:color="auto"/>
            <w:left w:val="none" w:sz="0" w:space="0" w:color="auto"/>
            <w:bottom w:val="none" w:sz="0" w:space="0" w:color="auto"/>
            <w:right w:val="none" w:sz="0" w:space="0" w:color="auto"/>
          </w:divBdr>
        </w:div>
        <w:div w:id="313990701">
          <w:marLeft w:val="0"/>
          <w:marRight w:val="0"/>
          <w:marTop w:val="0"/>
          <w:marBottom w:val="0"/>
          <w:divBdr>
            <w:top w:val="none" w:sz="0" w:space="0" w:color="auto"/>
            <w:left w:val="none" w:sz="0" w:space="0" w:color="auto"/>
            <w:bottom w:val="none" w:sz="0" w:space="0" w:color="auto"/>
            <w:right w:val="none" w:sz="0" w:space="0" w:color="auto"/>
          </w:divBdr>
        </w:div>
        <w:div w:id="313990702">
          <w:marLeft w:val="0"/>
          <w:marRight w:val="0"/>
          <w:marTop w:val="0"/>
          <w:marBottom w:val="0"/>
          <w:divBdr>
            <w:top w:val="none" w:sz="0" w:space="0" w:color="auto"/>
            <w:left w:val="none" w:sz="0" w:space="0" w:color="auto"/>
            <w:bottom w:val="none" w:sz="0" w:space="0" w:color="auto"/>
            <w:right w:val="none" w:sz="0" w:space="0" w:color="auto"/>
          </w:divBdr>
        </w:div>
        <w:div w:id="313990703">
          <w:marLeft w:val="0"/>
          <w:marRight w:val="0"/>
          <w:marTop w:val="0"/>
          <w:marBottom w:val="0"/>
          <w:divBdr>
            <w:top w:val="none" w:sz="0" w:space="0" w:color="auto"/>
            <w:left w:val="none" w:sz="0" w:space="0" w:color="auto"/>
            <w:bottom w:val="none" w:sz="0" w:space="0" w:color="auto"/>
            <w:right w:val="none" w:sz="0" w:space="0" w:color="auto"/>
          </w:divBdr>
        </w:div>
        <w:div w:id="313990704">
          <w:marLeft w:val="0"/>
          <w:marRight w:val="0"/>
          <w:marTop w:val="0"/>
          <w:marBottom w:val="0"/>
          <w:divBdr>
            <w:top w:val="none" w:sz="0" w:space="0" w:color="auto"/>
            <w:left w:val="none" w:sz="0" w:space="0" w:color="auto"/>
            <w:bottom w:val="none" w:sz="0" w:space="0" w:color="auto"/>
            <w:right w:val="none" w:sz="0" w:space="0" w:color="auto"/>
          </w:divBdr>
        </w:div>
        <w:div w:id="313990705">
          <w:marLeft w:val="0"/>
          <w:marRight w:val="0"/>
          <w:marTop w:val="0"/>
          <w:marBottom w:val="0"/>
          <w:divBdr>
            <w:top w:val="none" w:sz="0" w:space="0" w:color="auto"/>
            <w:left w:val="none" w:sz="0" w:space="0" w:color="auto"/>
            <w:bottom w:val="none" w:sz="0" w:space="0" w:color="auto"/>
            <w:right w:val="none" w:sz="0" w:space="0" w:color="auto"/>
          </w:divBdr>
        </w:div>
        <w:div w:id="313990706">
          <w:marLeft w:val="0"/>
          <w:marRight w:val="0"/>
          <w:marTop w:val="0"/>
          <w:marBottom w:val="0"/>
          <w:divBdr>
            <w:top w:val="none" w:sz="0" w:space="0" w:color="auto"/>
            <w:left w:val="none" w:sz="0" w:space="0" w:color="auto"/>
            <w:bottom w:val="none" w:sz="0" w:space="0" w:color="auto"/>
            <w:right w:val="none" w:sz="0" w:space="0" w:color="auto"/>
          </w:divBdr>
        </w:div>
        <w:div w:id="313990707">
          <w:marLeft w:val="0"/>
          <w:marRight w:val="0"/>
          <w:marTop w:val="0"/>
          <w:marBottom w:val="0"/>
          <w:divBdr>
            <w:top w:val="none" w:sz="0" w:space="0" w:color="auto"/>
            <w:left w:val="none" w:sz="0" w:space="0" w:color="auto"/>
            <w:bottom w:val="none" w:sz="0" w:space="0" w:color="auto"/>
            <w:right w:val="none" w:sz="0" w:space="0" w:color="auto"/>
          </w:divBdr>
        </w:div>
        <w:div w:id="313990708">
          <w:marLeft w:val="0"/>
          <w:marRight w:val="0"/>
          <w:marTop w:val="0"/>
          <w:marBottom w:val="0"/>
          <w:divBdr>
            <w:top w:val="none" w:sz="0" w:space="0" w:color="auto"/>
            <w:left w:val="none" w:sz="0" w:space="0" w:color="auto"/>
            <w:bottom w:val="none" w:sz="0" w:space="0" w:color="auto"/>
            <w:right w:val="none" w:sz="0" w:space="0" w:color="auto"/>
          </w:divBdr>
        </w:div>
        <w:div w:id="313990709">
          <w:marLeft w:val="0"/>
          <w:marRight w:val="0"/>
          <w:marTop w:val="0"/>
          <w:marBottom w:val="0"/>
          <w:divBdr>
            <w:top w:val="none" w:sz="0" w:space="0" w:color="auto"/>
            <w:left w:val="none" w:sz="0" w:space="0" w:color="auto"/>
            <w:bottom w:val="none" w:sz="0" w:space="0" w:color="auto"/>
            <w:right w:val="none" w:sz="0" w:space="0" w:color="auto"/>
          </w:divBdr>
        </w:div>
        <w:div w:id="313990710">
          <w:marLeft w:val="0"/>
          <w:marRight w:val="0"/>
          <w:marTop w:val="0"/>
          <w:marBottom w:val="0"/>
          <w:divBdr>
            <w:top w:val="none" w:sz="0" w:space="0" w:color="auto"/>
            <w:left w:val="none" w:sz="0" w:space="0" w:color="auto"/>
            <w:bottom w:val="none" w:sz="0" w:space="0" w:color="auto"/>
            <w:right w:val="none" w:sz="0" w:space="0" w:color="auto"/>
          </w:divBdr>
        </w:div>
        <w:div w:id="313990711">
          <w:marLeft w:val="0"/>
          <w:marRight w:val="0"/>
          <w:marTop w:val="0"/>
          <w:marBottom w:val="0"/>
          <w:divBdr>
            <w:top w:val="none" w:sz="0" w:space="0" w:color="auto"/>
            <w:left w:val="none" w:sz="0" w:space="0" w:color="auto"/>
            <w:bottom w:val="none" w:sz="0" w:space="0" w:color="auto"/>
            <w:right w:val="none" w:sz="0" w:space="0" w:color="auto"/>
          </w:divBdr>
        </w:div>
        <w:div w:id="313990712">
          <w:marLeft w:val="0"/>
          <w:marRight w:val="0"/>
          <w:marTop w:val="0"/>
          <w:marBottom w:val="0"/>
          <w:divBdr>
            <w:top w:val="none" w:sz="0" w:space="0" w:color="auto"/>
            <w:left w:val="none" w:sz="0" w:space="0" w:color="auto"/>
            <w:bottom w:val="none" w:sz="0" w:space="0" w:color="auto"/>
            <w:right w:val="none" w:sz="0" w:space="0" w:color="auto"/>
          </w:divBdr>
        </w:div>
        <w:div w:id="313990713">
          <w:marLeft w:val="0"/>
          <w:marRight w:val="0"/>
          <w:marTop w:val="0"/>
          <w:marBottom w:val="0"/>
          <w:divBdr>
            <w:top w:val="none" w:sz="0" w:space="0" w:color="auto"/>
            <w:left w:val="none" w:sz="0" w:space="0" w:color="auto"/>
            <w:bottom w:val="none" w:sz="0" w:space="0" w:color="auto"/>
            <w:right w:val="none" w:sz="0" w:space="0" w:color="auto"/>
          </w:divBdr>
        </w:div>
        <w:div w:id="313990714">
          <w:marLeft w:val="0"/>
          <w:marRight w:val="0"/>
          <w:marTop w:val="0"/>
          <w:marBottom w:val="0"/>
          <w:divBdr>
            <w:top w:val="none" w:sz="0" w:space="0" w:color="auto"/>
            <w:left w:val="none" w:sz="0" w:space="0" w:color="auto"/>
            <w:bottom w:val="none" w:sz="0" w:space="0" w:color="auto"/>
            <w:right w:val="none" w:sz="0" w:space="0" w:color="auto"/>
          </w:divBdr>
        </w:div>
        <w:div w:id="313990715">
          <w:marLeft w:val="0"/>
          <w:marRight w:val="0"/>
          <w:marTop w:val="0"/>
          <w:marBottom w:val="0"/>
          <w:divBdr>
            <w:top w:val="none" w:sz="0" w:space="0" w:color="auto"/>
            <w:left w:val="none" w:sz="0" w:space="0" w:color="auto"/>
            <w:bottom w:val="none" w:sz="0" w:space="0" w:color="auto"/>
            <w:right w:val="none" w:sz="0" w:space="0" w:color="auto"/>
          </w:divBdr>
        </w:div>
        <w:div w:id="313990716">
          <w:marLeft w:val="0"/>
          <w:marRight w:val="0"/>
          <w:marTop w:val="0"/>
          <w:marBottom w:val="0"/>
          <w:divBdr>
            <w:top w:val="none" w:sz="0" w:space="0" w:color="auto"/>
            <w:left w:val="none" w:sz="0" w:space="0" w:color="auto"/>
            <w:bottom w:val="none" w:sz="0" w:space="0" w:color="auto"/>
            <w:right w:val="none" w:sz="0" w:space="0" w:color="auto"/>
          </w:divBdr>
        </w:div>
        <w:div w:id="313990717">
          <w:marLeft w:val="0"/>
          <w:marRight w:val="0"/>
          <w:marTop w:val="0"/>
          <w:marBottom w:val="0"/>
          <w:divBdr>
            <w:top w:val="none" w:sz="0" w:space="0" w:color="auto"/>
            <w:left w:val="none" w:sz="0" w:space="0" w:color="auto"/>
            <w:bottom w:val="none" w:sz="0" w:space="0" w:color="auto"/>
            <w:right w:val="none" w:sz="0" w:space="0" w:color="auto"/>
          </w:divBdr>
        </w:div>
        <w:div w:id="313990718">
          <w:marLeft w:val="0"/>
          <w:marRight w:val="0"/>
          <w:marTop w:val="0"/>
          <w:marBottom w:val="0"/>
          <w:divBdr>
            <w:top w:val="none" w:sz="0" w:space="0" w:color="auto"/>
            <w:left w:val="none" w:sz="0" w:space="0" w:color="auto"/>
            <w:bottom w:val="none" w:sz="0" w:space="0" w:color="auto"/>
            <w:right w:val="none" w:sz="0" w:space="0" w:color="auto"/>
          </w:divBdr>
        </w:div>
        <w:div w:id="313990719">
          <w:marLeft w:val="0"/>
          <w:marRight w:val="0"/>
          <w:marTop w:val="0"/>
          <w:marBottom w:val="0"/>
          <w:divBdr>
            <w:top w:val="none" w:sz="0" w:space="0" w:color="auto"/>
            <w:left w:val="none" w:sz="0" w:space="0" w:color="auto"/>
            <w:bottom w:val="none" w:sz="0" w:space="0" w:color="auto"/>
            <w:right w:val="none" w:sz="0" w:space="0" w:color="auto"/>
          </w:divBdr>
        </w:div>
        <w:div w:id="313990720">
          <w:marLeft w:val="0"/>
          <w:marRight w:val="0"/>
          <w:marTop w:val="0"/>
          <w:marBottom w:val="0"/>
          <w:divBdr>
            <w:top w:val="none" w:sz="0" w:space="0" w:color="auto"/>
            <w:left w:val="none" w:sz="0" w:space="0" w:color="auto"/>
            <w:bottom w:val="none" w:sz="0" w:space="0" w:color="auto"/>
            <w:right w:val="none" w:sz="0" w:space="0" w:color="auto"/>
          </w:divBdr>
        </w:div>
        <w:div w:id="313990721">
          <w:marLeft w:val="0"/>
          <w:marRight w:val="0"/>
          <w:marTop w:val="0"/>
          <w:marBottom w:val="0"/>
          <w:divBdr>
            <w:top w:val="none" w:sz="0" w:space="0" w:color="auto"/>
            <w:left w:val="none" w:sz="0" w:space="0" w:color="auto"/>
            <w:bottom w:val="none" w:sz="0" w:space="0" w:color="auto"/>
            <w:right w:val="none" w:sz="0" w:space="0" w:color="auto"/>
          </w:divBdr>
        </w:div>
        <w:div w:id="313990722">
          <w:marLeft w:val="0"/>
          <w:marRight w:val="0"/>
          <w:marTop w:val="0"/>
          <w:marBottom w:val="0"/>
          <w:divBdr>
            <w:top w:val="none" w:sz="0" w:space="0" w:color="auto"/>
            <w:left w:val="none" w:sz="0" w:space="0" w:color="auto"/>
            <w:bottom w:val="none" w:sz="0" w:space="0" w:color="auto"/>
            <w:right w:val="none" w:sz="0" w:space="0" w:color="auto"/>
          </w:divBdr>
        </w:div>
        <w:div w:id="313990723">
          <w:marLeft w:val="0"/>
          <w:marRight w:val="0"/>
          <w:marTop w:val="0"/>
          <w:marBottom w:val="0"/>
          <w:divBdr>
            <w:top w:val="none" w:sz="0" w:space="0" w:color="auto"/>
            <w:left w:val="none" w:sz="0" w:space="0" w:color="auto"/>
            <w:bottom w:val="none" w:sz="0" w:space="0" w:color="auto"/>
            <w:right w:val="none" w:sz="0" w:space="0" w:color="auto"/>
          </w:divBdr>
        </w:div>
        <w:div w:id="313990724">
          <w:marLeft w:val="0"/>
          <w:marRight w:val="0"/>
          <w:marTop w:val="0"/>
          <w:marBottom w:val="0"/>
          <w:divBdr>
            <w:top w:val="none" w:sz="0" w:space="0" w:color="auto"/>
            <w:left w:val="none" w:sz="0" w:space="0" w:color="auto"/>
            <w:bottom w:val="none" w:sz="0" w:space="0" w:color="auto"/>
            <w:right w:val="none" w:sz="0" w:space="0" w:color="auto"/>
          </w:divBdr>
        </w:div>
        <w:div w:id="313990725">
          <w:marLeft w:val="0"/>
          <w:marRight w:val="0"/>
          <w:marTop w:val="0"/>
          <w:marBottom w:val="0"/>
          <w:divBdr>
            <w:top w:val="none" w:sz="0" w:space="0" w:color="auto"/>
            <w:left w:val="none" w:sz="0" w:space="0" w:color="auto"/>
            <w:bottom w:val="none" w:sz="0" w:space="0" w:color="auto"/>
            <w:right w:val="none" w:sz="0" w:space="0" w:color="auto"/>
          </w:divBdr>
        </w:div>
        <w:div w:id="313990726">
          <w:marLeft w:val="0"/>
          <w:marRight w:val="0"/>
          <w:marTop w:val="0"/>
          <w:marBottom w:val="0"/>
          <w:divBdr>
            <w:top w:val="none" w:sz="0" w:space="0" w:color="auto"/>
            <w:left w:val="none" w:sz="0" w:space="0" w:color="auto"/>
            <w:bottom w:val="none" w:sz="0" w:space="0" w:color="auto"/>
            <w:right w:val="none" w:sz="0" w:space="0" w:color="auto"/>
          </w:divBdr>
        </w:div>
        <w:div w:id="313990727">
          <w:marLeft w:val="0"/>
          <w:marRight w:val="0"/>
          <w:marTop w:val="0"/>
          <w:marBottom w:val="0"/>
          <w:divBdr>
            <w:top w:val="none" w:sz="0" w:space="0" w:color="auto"/>
            <w:left w:val="none" w:sz="0" w:space="0" w:color="auto"/>
            <w:bottom w:val="none" w:sz="0" w:space="0" w:color="auto"/>
            <w:right w:val="none" w:sz="0" w:space="0" w:color="auto"/>
          </w:divBdr>
        </w:div>
        <w:div w:id="313990728">
          <w:marLeft w:val="0"/>
          <w:marRight w:val="0"/>
          <w:marTop w:val="0"/>
          <w:marBottom w:val="0"/>
          <w:divBdr>
            <w:top w:val="none" w:sz="0" w:space="0" w:color="auto"/>
            <w:left w:val="none" w:sz="0" w:space="0" w:color="auto"/>
            <w:bottom w:val="none" w:sz="0" w:space="0" w:color="auto"/>
            <w:right w:val="none" w:sz="0" w:space="0" w:color="auto"/>
          </w:divBdr>
        </w:div>
        <w:div w:id="313990729">
          <w:marLeft w:val="0"/>
          <w:marRight w:val="0"/>
          <w:marTop w:val="0"/>
          <w:marBottom w:val="0"/>
          <w:divBdr>
            <w:top w:val="none" w:sz="0" w:space="0" w:color="auto"/>
            <w:left w:val="none" w:sz="0" w:space="0" w:color="auto"/>
            <w:bottom w:val="none" w:sz="0" w:space="0" w:color="auto"/>
            <w:right w:val="none" w:sz="0" w:space="0" w:color="auto"/>
          </w:divBdr>
        </w:div>
        <w:div w:id="313990730">
          <w:marLeft w:val="0"/>
          <w:marRight w:val="0"/>
          <w:marTop w:val="0"/>
          <w:marBottom w:val="0"/>
          <w:divBdr>
            <w:top w:val="none" w:sz="0" w:space="0" w:color="auto"/>
            <w:left w:val="none" w:sz="0" w:space="0" w:color="auto"/>
            <w:bottom w:val="none" w:sz="0" w:space="0" w:color="auto"/>
            <w:right w:val="none" w:sz="0" w:space="0" w:color="auto"/>
          </w:divBdr>
        </w:div>
        <w:div w:id="313990731">
          <w:marLeft w:val="0"/>
          <w:marRight w:val="0"/>
          <w:marTop w:val="0"/>
          <w:marBottom w:val="0"/>
          <w:divBdr>
            <w:top w:val="none" w:sz="0" w:space="0" w:color="auto"/>
            <w:left w:val="none" w:sz="0" w:space="0" w:color="auto"/>
            <w:bottom w:val="none" w:sz="0" w:space="0" w:color="auto"/>
            <w:right w:val="none" w:sz="0" w:space="0" w:color="auto"/>
          </w:divBdr>
        </w:div>
        <w:div w:id="313990732">
          <w:marLeft w:val="0"/>
          <w:marRight w:val="0"/>
          <w:marTop w:val="0"/>
          <w:marBottom w:val="0"/>
          <w:divBdr>
            <w:top w:val="none" w:sz="0" w:space="0" w:color="auto"/>
            <w:left w:val="none" w:sz="0" w:space="0" w:color="auto"/>
            <w:bottom w:val="none" w:sz="0" w:space="0" w:color="auto"/>
            <w:right w:val="none" w:sz="0" w:space="0" w:color="auto"/>
          </w:divBdr>
        </w:div>
        <w:div w:id="313990733">
          <w:marLeft w:val="0"/>
          <w:marRight w:val="0"/>
          <w:marTop w:val="0"/>
          <w:marBottom w:val="0"/>
          <w:divBdr>
            <w:top w:val="none" w:sz="0" w:space="0" w:color="auto"/>
            <w:left w:val="none" w:sz="0" w:space="0" w:color="auto"/>
            <w:bottom w:val="none" w:sz="0" w:space="0" w:color="auto"/>
            <w:right w:val="none" w:sz="0" w:space="0" w:color="auto"/>
          </w:divBdr>
        </w:div>
        <w:div w:id="313990734">
          <w:marLeft w:val="0"/>
          <w:marRight w:val="0"/>
          <w:marTop w:val="0"/>
          <w:marBottom w:val="0"/>
          <w:divBdr>
            <w:top w:val="none" w:sz="0" w:space="0" w:color="auto"/>
            <w:left w:val="none" w:sz="0" w:space="0" w:color="auto"/>
            <w:bottom w:val="none" w:sz="0" w:space="0" w:color="auto"/>
            <w:right w:val="none" w:sz="0" w:space="0" w:color="auto"/>
          </w:divBdr>
        </w:div>
        <w:div w:id="313990735">
          <w:marLeft w:val="0"/>
          <w:marRight w:val="0"/>
          <w:marTop w:val="0"/>
          <w:marBottom w:val="0"/>
          <w:divBdr>
            <w:top w:val="none" w:sz="0" w:space="0" w:color="auto"/>
            <w:left w:val="none" w:sz="0" w:space="0" w:color="auto"/>
            <w:bottom w:val="none" w:sz="0" w:space="0" w:color="auto"/>
            <w:right w:val="none" w:sz="0" w:space="0" w:color="auto"/>
          </w:divBdr>
        </w:div>
        <w:div w:id="313990736">
          <w:marLeft w:val="0"/>
          <w:marRight w:val="0"/>
          <w:marTop w:val="0"/>
          <w:marBottom w:val="0"/>
          <w:divBdr>
            <w:top w:val="none" w:sz="0" w:space="0" w:color="auto"/>
            <w:left w:val="none" w:sz="0" w:space="0" w:color="auto"/>
            <w:bottom w:val="none" w:sz="0" w:space="0" w:color="auto"/>
            <w:right w:val="none" w:sz="0" w:space="0" w:color="auto"/>
          </w:divBdr>
        </w:div>
        <w:div w:id="313990737">
          <w:marLeft w:val="0"/>
          <w:marRight w:val="0"/>
          <w:marTop w:val="0"/>
          <w:marBottom w:val="0"/>
          <w:divBdr>
            <w:top w:val="none" w:sz="0" w:space="0" w:color="auto"/>
            <w:left w:val="none" w:sz="0" w:space="0" w:color="auto"/>
            <w:bottom w:val="none" w:sz="0" w:space="0" w:color="auto"/>
            <w:right w:val="none" w:sz="0" w:space="0" w:color="auto"/>
          </w:divBdr>
        </w:div>
        <w:div w:id="313990738">
          <w:marLeft w:val="0"/>
          <w:marRight w:val="0"/>
          <w:marTop w:val="0"/>
          <w:marBottom w:val="0"/>
          <w:divBdr>
            <w:top w:val="none" w:sz="0" w:space="0" w:color="auto"/>
            <w:left w:val="none" w:sz="0" w:space="0" w:color="auto"/>
            <w:bottom w:val="none" w:sz="0" w:space="0" w:color="auto"/>
            <w:right w:val="none" w:sz="0" w:space="0" w:color="auto"/>
          </w:divBdr>
        </w:div>
        <w:div w:id="313990739">
          <w:marLeft w:val="0"/>
          <w:marRight w:val="0"/>
          <w:marTop w:val="0"/>
          <w:marBottom w:val="0"/>
          <w:divBdr>
            <w:top w:val="none" w:sz="0" w:space="0" w:color="auto"/>
            <w:left w:val="none" w:sz="0" w:space="0" w:color="auto"/>
            <w:bottom w:val="none" w:sz="0" w:space="0" w:color="auto"/>
            <w:right w:val="none" w:sz="0" w:space="0" w:color="auto"/>
          </w:divBdr>
        </w:div>
        <w:div w:id="313990740">
          <w:marLeft w:val="0"/>
          <w:marRight w:val="0"/>
          <w:marTop w:val="0"/>
          <w:marBottom w:val="0"/>
          <w:divBdr>
            <w:top w:val="none" w:sz="0" w:space="0" w:color="auto"/>
            <w:left w:val="none" w:sz="0" w:space="0" w:color="auto"/>
            <w:bottom w:val="none" w:sz="0" w:space="0" w:color="auto"/>
            <w:right w:val="none" w:sz="0" w:space="0" w:color="auto"/>
          </w:divBdr>
        </w:div>
        <w:div w:id="313990741">
          <w:marLeft w:val="0"/>
          <w:marRight w:val="0"/>
          <w:marTop w:val="0"/>
          <w:marBottom w:val="0"/>
          <w:divBdr>
            <w:top w:val="none" w:sz="0" w:space="0" w:color="auto"/>
            <w:left w:val="none" w:sz="0" w:space="0" w:color="auto"/>
            <w:bottom w:val="none" w:sz="0" w:space="0" w:color="auto"/>
            <w:right w:val="none" w:sz="0" w:space="0" w:color="auto"/>
          </w:divBdr>
        </w:div>
        <w:div w:id="313990742">
          <w:marLeft w:val="0"/>
          <w:marRight w:val="0"/>
          <w:marTop w:val="0"/>
          <w:marBottom w:val="0"/>
          <w:divBdr>
            <w:top w:val="none" w:sz="0" w:space="0" w:color="auto"/>
            <w:left w:val="none" w:sz="0" w:space="0" w:color="auto"/>
            <w:bottom w:val="none" w:sz="0" w:space="0" w:color="auto"/>
            <w:right w:val="none" w:sz="0" w:space="0" w:color="auto"/>
          </w:divBdr>
        </w:div>
        <w:div w:id="313990743">
          <w:marLeft w:val="0"/>
          <w:marRight w:val="0"/>
          <w:marTop w:val="0"/>
          <w:marBottom w:val="0"/>
          <w:divBdr>
            <w:top w:val="none" w:sz="0" w:space="0" w:color="auto"/>
            <w:left w:val="none" w:sz="0" w:space="0" w:color="auto"/>
            <w:bottom w:val="none" w:sz="0" w:space="0" w:color="auto"/>
            <w:right w:val="none" w:sz="0" w:space="0" w:color="auto"/>
          </w:divBdr>
        </w:div>
        <w:div w:id="313990744">
          <w:marLeft w:val="0"/>
          <w:marRight w:val="0"/>
          <w:marTop w:val="0"/>
          <w:marBottom w:val="0"/>
          <w:divBdr>
            <w:top w:val="none" w:sz="0" w:space="0" w:color="auto"/>
            <w:left w:val="none" w:sz="0" w:space="0" w:color="auto"/>
            <w:bottom w:val="none" w:sz="0" w:space="0" w:color="auto"/>
            <w:right w:val="none" w:sz="0" w:space="0" w:color="auto"/>
          </w:divBdr>
        </w:div>
        <w:div w:id="313990745">
          <w:marLeft w:val="0"/>
          <w:marRight w:val="0"/>
          <w:marTop w:val="0"/>
          <w:marBottom w:val="0"/>
          <w:divBdr>
            <w:top w:val="none" w:sz="0" w:space="0" w:color="auto"/>
            <w:left w:val="none" w:sz="0" w:space="0" w:color="auto"/>
            <w:bottom w:val="none" w:sz="0" w:space="0" w:color="auto"/>
            <w:right w:val="none" w:sz="0" w:space="0" w:color="auto"/>
          </w:divBdr>
        </w:div>
        <w:div w:id="313990746">
          <w:marLeft w:val="0"/>
          <w:marRight w:val="0"/>
          <w:marTop w:val="0"/>
          <w:marBottom w:val="0"/>
          <w:divBdr>
            <w:top w:val="none" w:sz="0" w:space="0" w:color="auto"/>
            <w:left w:val="none" w:sz="0" w:space="0" w:color="auto"/>
            <w:bottom w:val="none" w:sz="0" w:space="0" w:color="auto"/>
            <w:right w:val="none" w:sz="0" w:space="0" w:color="auto"/>
          </w:divBdr>
        </w:div>
        <w:div w:id="313990747">
          <w:marLeft w:val="0"/>
          <w:marRight w:val="0"/>
          <w:marTop w:val="0"/>
          <w:marBottom w:val="0"/>
          <w:divBdr>
            <w:top w:val="none" w:sz="0" w:space="0" w:color="auto"/>
            <w:left w:val="none" w:sz="0" w:space="0" w:color="auto"/>
            <w:bottom w:val="none" w:sz="0" w:space="0" w:color="auto"/>
            <w:right w:val="none" w:sz="0" w:space="0" w:color="auto"/>
          </w:divBdr>
        </w:div>
        <w:div w:id="313990748">
          <w:marLeft w:val="0"/>
          <w:marRight w:val="0"/>
          <w:marTop w:val="0"/>
          <w:marBottom w:val="0"/>
          <w:divBdr>
            <w:top w:val="none" w:sz="0" w:space="0" w:color="auto"/>
            <w:left w:val="none" w:sz="0" w:space="0" w:color="auto"/>
            <w:bottom w:val="none" w:sz="0" w:space="0" w:color="auto"/>
            <w:right w:val="none" w:sz="0" w:space="0" w:color="auto"/>
          </w:divBdr>
        </w:div>
        <w:div w:id="313990749">
          <w:marLeft w:val="0"/>
          <w:marRight w:val="0"/>
          <w:marTop w:val="0"/>
          <w:marBottom w:val="0"/>
          <w:divBdr>
            <w:top w:val="none" w:sz="0" w:space="0" w:color="auto"/>
            <w:left w:val="none" w:sz="0" w:space="0" w:color="auto"/>
            <w:bottom w:val="none" w:sz="0" w:space="0" w:color="auto"/>
            <w:right w:val="none" w:sz="0" w:space="0" w:color="auto"/>
          </w:divBdr>
        </w:div>
        <w:div w:id="313990750">
          <w:marLeft w:val="0"/>
          <w:marRight w:val="0"/>
          <w:marTop w:val="0"/>
          <w:marBottom w:val="0"/>
          <w:divBdr>
            <w:top w:val="none" w:sz="0" w:space="0" w:color="auto"/>
            <w:left w:val="none" w:sz="0" w:space="0" w:color="auto"/>
            <w:bottom w:val="none" w:sz="0" w:space="0" w:color="auto"/>
            <w:right w:val="none" w:sz="0" w:space="0" w:color="auto"/>
          </w:divBdr>
        </w:div>
        <w:div w:id="313990751">
          <w:marLeft w:val="0"/>
          <w:marRight w:val="0"/>
          <w:marTop w:val="0"/>
          <w:marBottom w:val="0"/>
          <w:divBdr>
            <w:top w:val="none" w:sz="0" w:space="0" w:color="auto"/>
            <w:left w:val="none" w:sz="0" w:space="0" w:color="auto"/>
            <w:bottom w:val="none" w:sz="0" w:space="0" w:color="auto"/>
            <w:right w:val="none" w:sz="0" w:space="0" w:color="auto"/>
          </w:divBdr>
        </w:div>
        <w:div w:id="313990752">
          <w:marLeft w:val="0"/>
          <w:marRight w:val="0"/>
          <w:marTop w:val="0"/>
          <w:marBottom w:val="0"/>
          <w:divBdr>
            <w:top w:val="none" w:sz="0" w:space="0" w:color="auto"/>
            <w:left w:val="none" w:sz="0" w:space="0" w:color="auto"/>
            <w:bottom w:val="none" w:sz="0" w:space="0" w:color="auto"/>
            <w:right w:val="none" w:sz="0" w:space="0" w:color="auto"/>
          </w:divBdr>
        </w:div>
        <w:div w:id="313990753">
          <w:marLeft w:val="0"/>
          <w:marRight w:val="0"/>
          <w:marTop w:val="0"/>
          <w:marBottom w:val="0"/>
          <w:divBdr>
            <w:top w:val="none" w:sz="0" w:space="0" w:color="auto"/>
            <w:left w:val="none" w:sz="0" w:space="0" w:color="auto"/>
            <w:bottom w:val="none" w:sz="0" w:space="0" w:color="auto"/>
            <w:right w:val="none" w:sz="0" w:space="0" w:color="auto"/>
          </w:divBdr>
        </w:div>
        <w:div w:id="313990754">
          <w:marLeft w:val="0"/>
          <w:marRight w:val="0"/>
          <w:marTop w:val="0"/>
          <w:marBottom w:val="0"/>
          <w:divBdr>
            <w:top w:val="none" w:sz="0" w:space="0" w:color="auto"/>
            <w:left w:val="none" w:sz="0" w:space="0" w:color="auto"/>
            <w:bottom w:val="none" w:sz="0" w:space="0" w:color="auto"/>
            <w:right w:val="none" w:sz="0" w:space="0" w:color="auto"/>
          </w:divBdr>
        </w:div>
        <w:div w:id="313990755">
          <w:marLeft w:val="0"/>
          <w:marRight w:val="0"/>
          <w:marTop w:val="0"/>
          <w:marBottom w:val="0"/>
          <w:divBdr>
            <w:top w:val="none" w:sz="0" w:space="0" w:color="auto"/>
            <w:left w:val="none" w:sz="0" w:space="0" w:color="auto"/>
            <w:bottom w:val="none" w:sz="0" w:space="0" w:color="auto"/>
            <w:right w:val="none" w:sz="0" w:space="0" w:color="auto"/>
          </w:divBdr>
        </w:div>
        <w:div w:id="313990756">
          <w:marLeft w:val="0"/>
          <w:marRight w:val="0"/>
          <w:marTop w:val="0"/>
          <w:marBottom w:val="0"/>
          <w:divBdr>
            <w:top w:val="none" w:sz="0" w:space="0" w:color="auto"/>
            <w:left w:val="none" w:sz="0" w:space="0" w:color="auto"/>
            <w:bottom w:val="none" w:sz="0" w:space="0" w:color="auto"/>
            <w:right w:val="none" w:sz="0" w:space="0" w:color="auto"/>
          </w:divBdr>
        </w:div>
        <w:div w:id="313990757">
          <w:marLeft w:val="0"/>
          <w:marRight w:val="0"/>
          <w:marTop w:val="0"/>
          <w:marBottom w:val="0"/>
          <w:divBdr>
            <w:top w:val="none" w:sz="0" w:space="0" w:color="auto"/>
            <w:left w:val="none" w:sz="0" w:space="0" w:color="auto"/>
            <w:bottom w:val="none" w:sz="0" w:space="0" w:color="auto"/>
            <w:right w:val="none" w:sz="0" w:space="0" w:color="auto"/>
          </w:divBdr>
        </w:div>
        <w:div w:id="313990758">
          <w:marLeft w:val="0"/>
          <w:marRight w:val="0"/>
          <w:marTop w:val="0"/>
          <w:marBottom w:val="0"/>
          <w:divBdr>
            <w:top w:val="none" w:sz="0" w:space="0" w:color="auto"/>
            <w:left w:val="none" w:sz="0" w:space="0" w:color="auto"/>
            <w:bottom w:val="none" w:sz="0" w:space="0" w:color="auto"/>
            <w:right w:val="none" w:sz="0" w:space="0" w:color="auto"/>
          </w:divBdr>
        </w:div>
        <w:div w:id="313990759">
          <w:marLeft w:val="0"/>
          <w:marRight w:val="0"/>
          <w:marTop w:val="0"/>
          <w:marBottom w:val="0"/>
          <w:divBdr>
            <w:top w:val="none" w:sz="0" w:space="0" w:color="auto"/>
            <w:left w:val="none" w:sz="0" w:space="0" w:color="auto"/>
            <w:bottom w:val="none" w:sz="0" w:space="0" w:color="auto"/>
            <w:right w:val="none" w:sz="0" w:space="0" w:color="auto"/>
          </w:divBdr>
        </w:div>
        <w:div w:id="313990760">
          <w:marLeft w:val="0"/>
          <w:marRight w:val="0"/>
          <w:marTop w:val="0"/>
          <w:marBottom w:val="0"/>
          <w:divBdr>
            <w:top w:val="none" w:sz="0" w:space="0" w:color="auto"/>
            <w:left w:val="none" w:sz="0" w:space="0" w:color="auto"/>
            <w:bottom w:val="none" w:sz="0" w:space="0" w:color="auto"/>
            <w:right w:val="none" w:sz="0" w:space="0" w:color="auto"/>
          </w:divBdr>
        </w:div>
        <w:div w:id="313990761">
          <w:marLeft w:val="0"/>
          <w:marRight w:val="0"/>
          <w:marTop w:val="0"/>
          <w:marBottom w:val="0"/>
          <w:divBdr>
            <w:top w:val="none" w:sz="0" w:space="0" w:color="auto"/>
            <w:left w:val="none" w:sz="0" w:space="0" w:color="auto"/>
            <w:bottom w:val="none" w:sz="0" w:space="0" w:color="auto"/>
            <w:right w:val="none" w:sz="0" w:space="0" w:color="auto"/>
          </w:divBdr>
        </w:div>
        <w:div w:id="313990762">
          <w:marLeft w:val="0"/>
          <w:marRight w:val="0"/>
          <w:marTop w:val="0"/>
          <w:marBottom w:val="0"/>
          <w:divBdr>
            <w:top w:val="none" w:sz="0" w:space="0" w:color="auto"/>
            <w:left w:val="none" w:sz="0" w:space="0" w:color="auto"/>
            <w:bottom w:val="none" w:sz="0" w:space="0" w:color="auto"/>
            <w:right w:val="none" w:sz="0" w:space="0" w:color="auto"/>
          </w:divBdr>
        </w:div>
        <w:div w:id="313990763">
          <w:marLeft w:val="0"/>
          <w:marRight w:val="0"/>
          <w:marTop w:val="0"/>
          <w:marBottom w:val="0"/>
          <w:divBdr>
            <w:top w:val="none" w:sz="0" w:space="0" w:color="auto"/>
            <w:left w:val="none" w:sz="0" w:space="0" w:color="auto"/>
            <w:bottom w:val="none" w:sz="0" w:space="0" w:color="auto"/>
            <w:right w:val="none" w:sz="0" w:space="0" w:color="auto"/>
          </w:divBdr>
        </w:div>
        <w:div w:id="313990764">
          <w:marLeft w:val="0"/>
          <w:marRight w:val="0"/>
          <w:marTop w:val="0"/>
          <w:marBottom w:val="0"/>
          <w:divBdr>
            <w:top w:val="none" w:sz="0" w:space="0" w:color="auto"/>
            <w:left w:val="none" w:sz="0" w:space="0" w:color="auto"/>
            <w:bottom w:val="none" w:sz="0" w:space="0" w:color="auto"/>
            <w:right w:val="none" w:sz="0" w:space="0" w:color="auto"/>
          </w:divBdr>
        </w:div>
        <w:div w:id="313990765">
          <w:marLeft w:val="0"/>
          <w:marRight w:val="0"/>
          <w:marTop w:val="0"/>
          <w:marBottom w:val="0"/>
          <w:divBdr>
            <w:top w:val="none" w:sz="0" w:space="0" w:color="auto"/>
            <w:left w:val="none" w:sz="0" w:space="0" w:color="auto"/>
            <w:bottom w:val="none" w:sz="0" w:space="0" w:color="auto"/>
            <w:right w:val="none" w:sz="0" w:space="0" w:color="auto"/>
          </w:divBdr>
        </w:div>
        <w:div w:id="313990766">
          <w:marLeft w:val="0"/>
          <w:marRight w:val="0"/>
          <w:marTop w:val="0"/>
          <w:marBottom w:val="0"/>
          <w:divBdr>
            <w:top w:val="none" w:sz="0" w:space="0" w:color="auto"/>
            <w:left w:val="none" w:sz="0" w:space="0" w:color="auto"/>
            <w:bottom w:val="none" w:sz="0" w:space="0" w:color="auto"/>
            <w:right w:val="none" w:sz="0" w:space="0" w:color="auto"/>
          </w:divBdr>
        </w:div>
        <w:div w:id="313990767">
          <w:marLeft w:val="0"/>
          <w:marRight w:val="0"/>
          <w:marTop w:val="0"/>
          <w:marBottom w:val="0"/>
          <w:divBdr>
            <w:top w:val="none" w:sz="0" w:space="0" w:color="auto"/>
            <w:left w:val="none" w:sz="0" w:space="0" w:color="auto"/>
            <w:bottom w:val="none" w:sz="0" w:space="0" w:color="auto"/>
            <w:right w:val="none" w:sz="0" w:space="0" w:color="auto"/>
          </w:divBdr>
        </w:div>
        <w:div w:id="313990768">
          <w:marLeft w:val="0"/>
          <w:marRight w:val="0"/>
          <w:marTop w:val="0"/>
          <w:marBottom w:val="0"/>
          <w:divBdr>
            <w:top w:val="none" w:sz="0" w:space="0" w:color="auto"/>
            <w:left w:val="none" w:sz="0" w:space="0" w:color="auto"/>
            <w:bottom w:val="none" w:sz="0" w:space="0" w:color="auto"/>
            <w:right w:val="none" w:sz="0" w:space="0" w:color="auto"/>
          </w:divBdr>
        </w:div>
        <w:div w:id="313990769">
          <w:marLeft w:val="0"/>
          <w:marRight w:val="0"/>
          <w:marTop w:val="0"/>
          <w:marBottom w:val="0"/>
          <w:divBdr>
            <w:top w:val="none" w:sz="0" w:space="0" w:color="auto"/>
            <w:left w:val="none" w:sz="0" w:space="0" w:color="auto"/>
            <w:bottom w:val="none" w:sz="0" w:space="0" w:color="auto"/>
            <w:right w:val="none" w:sz="0" w:space="0" w:color="auto"/>
          </w:divBdr>
        </w:div>
        <w:div w:id="313990770">
          <w:marLeft w:val="0"/>
          <w:marRight w:val="0"/>
          <w:marTop w:val="0"/>
          <w:marBottom w:val="0"/>
          <w:divBdr>
            <w:top w:val="none" w:sz="0" w:space="0" w:color="auto"/>
            <w:left w:val="none" w:sz="0" w:space="0" w:color="auto"/>
            <w:bottom w:val="none" w:sz="0" w:space="0" w:color="auto"/>
            <w:right w:val="none" w:sz="0" w:space="0" w:color="auto"/>
          </w:divBdr>
        </w:div>
        <w:div w:id="313990771">
          <w:marLeft w:val="0"/>
          <w:marRight w:val="0"/>
          <w:marTop w:val="0"/>
          <w:marBottom w:val="0"/>
          <w:divBdr>
            <w:top w:val="none" w:sz="0" w:space="0" w:color="auto"/>
            <w:left w:val="none" w:sz="0" w:space="0" w:color="auto"/>
            <w:bottom w:val="none" w:sz="0" w:space="0" w:color="auto"/>
            <w:right w:val="none" w:sz="0" w:space="0" w:color="auto"/>
          </w:divBdr>
        </w:div>
        <w:div w:id="313990772">
          <w:marLeft w:val="0"/>
          <w:marRight w:val="0"/>
          <w:marTop w:val="0"/>
          <w:marBottom w:val="0"/>
          <w:divBdr>
            <w:top w:val="none" w:sz="0" w:space="0" w:color="auto"/>
            <w:left w:val="none" w:sz="0" w:space="0" w:color="auto"/>
            <w:bottom w:val="none" w:sz="0" w:space="0" w:color="auto"/>
            <w:right w:val="none" w:sz="0" w:space="0" w:color="auto"/>
          </w:divBdr>
        </w:div>
        <w:div w:id="313990792">
          <w:marLeft w:val="0"/>
          <w:marRight w:val="0"/>
          <w:marTop w:val="0"/>
          <w:marBottom w:val="0"/>
          <w:divBdr>
            <w:top w:val="none" w:sz="0" w:space="0" w:color="auto"/>
            <w:left w:val="none" w:sz="0" w:space="0" w:color="auto"/>
            <w:bottom w:val="none" w:sz="0" w:space="0" w:color="auto"/>
            <w:right w:val="none" w:sz="0" w:space="0" w:color="auto"/>
          </w:divBdr>
        </w:div>
        <w:div w:id="313990793">
          <w:marLeft w:val="0"/>
          <w:marRight w:val="0"/>
          <w:marTop w:val="0"/>
          <w:marBottom w:val="0"/>
          <w:divBdr>
            <w:top w:val="none" w:sz="0" w:space="0" w:color="auto"/>
            <w:left w:val="none" w:sz="0" w:space="0" w:color="auto"/>
            <w:bottom w:val="none" w:sz="0" w:space="0" w:color="auto"/>
            <w:right w:val="none" w:sz="0" w:space="0" w:color="auto"/>
          </w:divBdr>
        </w:div>
      </w:divsChild>
    </w:div>
    <w:div w:id="313990773">
      <w:marLeft w:val="0"/>
      <w:marRight w:val="0"/>
      <w:marTop w:val="0"/>
      <w:marBottom w:val="0"/>
      <w:divBdr>
        <w:top w:val="none" w:sz="0" w:space="0" w:color="auto"/>
        <w:left w:val="none" w:sz="0" w:space="0" w:color="auto"/>
        <w:bottom w:val="none" w:sz="0" w:space="0" w:color="auto"/>
        <w:right w:val="none" w:sz="0" w:space="0" w:color="auto"/>
      </w:divBdr>
    </w:div>
    <w:div w:id="313990774">
      <w:marLeft w:val="0"/>
      <w:marRight w:val="0"/>
      <w:marTop w:val="0"/>
      <w:marBottom w:val="0"/>
      <w:divBdr>
        <w:top w:val="none" w:sz="0" w:space="0" w:color="auto"/>
        <w:left w:val="none" w:sz="0" w:space="0" w:color="auto"/>
        <w:bottom w:val="none" w:sz="0" w:space="0" w:color="auto"/>
        <w:right w:val="none" w:sz="0" w:space="0" w:color="auto"/>
      </w:divBdr>
    </w:div>
    <w:div w:id="313990775">
      <w:marLeft w:val="0"/>
      <w:marRight w:val="0"/>
      <w:marTop w:val="0"/>
      <w:marBottom w:val="0"/>
      <w:divBdr>
        <w:top w:val="none" w:sz="0" w:space="0" w:color="auto"/>
        <w:left w:val="none" w:sz="0" w:space="0" w:color="auto"/>
        <w:bottom w:val="none" w:sz="0" w:space="0" w:color="auto"/>
        <w:right w:val="none" w:sz="0" w:space="0" w:color="auto"/>
      </w:divBdr>
    </w:div>
    <w:div w:id="313990776">
      <w:marLeft w:val="0"/>
      <w:marRight w:val="0"/>
      <w:marTop w:val="0"/>
      <w:marBottom w:val="0"/>
      <w:divBdr>
        <w:top w:val="none" w:sz="0" w:space="0" w:color="auto"/>
        <w:left w:val="none" w:sz="0" w:space="0" w:color="auto"/>
        <w:bottom w:val="none" w:sz="0" w:space="0" w:color="auto"/>
        <w:right w:val="none" w:sz="0" w:space="0" w:color="auto"/>
      </w:divBdr>
    </w:div>
    <w:div w:id="313990777">
      <w:marLeft w:val="0"/>
      <w:marRight w:val="0"/>
      <w:marTop w:val="0"/>
      <w:marBottom w:val="0"/>
      <w:divBdr>
        <w:top w:val="none" w:sz="0" w:space="0" w:color="auto"/>
        <w:left w:val="none" w:sz="0" w:space="0" w:color="auto"/>
        <w:bottom w:val="none" w:sz="0" w:space="0" w:color="auto"/>
        <w:right w:val="none" w:sz="0" w:space="0" w:color="auto"/>
      </w:divBdr>
    </w:div>
    <w:div w:id="313990778">
      <w:marLeft w:val="0"/>
      <w:marRight w:val="0"/>
      <w:marTop w:val="0"/>
      <w:marBottom w:val="0"/>
      <w:divBdr>
        <w:top w:val="none" w:sz="0" w:space="0" w:color="auto"/>
        <w:left w:val="none" w:sz="0" w:space="0" w:color="auto"/>
        <w:bottom w:val="none" w:sz="0" w:space="0" w:color="auto"/>
        <w:right w:val="none" w:sz="0" w:space="0" w:color="auto"/>
      </w:divBdr>
    </w:div>
    <w:div w:id="313990779">
      <w:marLeft w:val="0"/>
      <w:marRight w:val="0"/>
      <w:marTop w:val="0"/>
      <w:marBottom w:val="0"/>
      <w:divBdr>
        <w:top w:val="none" w:sz="0" w:space="0" w:color="auto"/>
        <w:left w:val="none" w:sz="0" w:space="0" w:color="auto"/>
        <w:bottom w:val="none" w:sz="0" w:space="0" w:color="auto"/>
        <w:right w:val="none" w:sz="0" w:space="0" w:color="auto"/>
      </w:divBdr>
    </w:div>
    <w:div w:id="313990780">
      <w:marLeft w:val="0"/>
      <w:marRight w:val="0"/>
      <w:marTop w:val="0"/>
      <w:marBottom w:val="0"/>
      <w:divBdr>
        <w:top w:val="none" w:sz="0" w:space="0" w:color="auto"/>
        <w:left w:val="none" w:sz="0" w:space="0" w:color="auto"/>
        <w:bottom w:val="none" w:sz="0" w:space="0" w:color="auto"/>
        <w:right w:val="none" w:sz="0" w:space="0" w:color="auto"/>
      </w:divBdr>
    </w:div>
    <w:div w:id="313990781">
      <w:marLeft w:val="0"/>
      <w:marRight w:val="0"/>
      <w:marTop w:val="0"/>
      <w:marBottom w:val="0"/>
      <w:divBdr>
        <w:top w:val="none" w:sz="0" w:space="0" w:color="auto"/>
        <w:left w:val="none" w:sz="0" w:space="0" w:color="auto"/>
        <w:bottom w:val="none" w:sz="0" w:space="0" w:color="auto"/>
        <w:right w:val="none" w:sz="0" w:space="0" w:color="auto"/>
      </w:divBdr>
    </w:div>
    <w:div w:id="313990782">
      <w:marLeft w:val="0"/>
      <w:marRight w:val="0"/>
      <w:marTop w:val="0"/>
      <w:marBottom w:val="0"/>
      <w:divBdr>
        <w:top w:val="none" w:sz="0" w:space="0" w:color="auto"/>
        <w:left w:val="none" w:sz="0" w:space="0" w:color="auto"/>
        <w:bottom w:val="none" w:sz="0" w:space="0" w:color="auto"/>
        <w:right w:val="none" w:sz="0" w:space="0" w:color="auto"/>
      </w:divBdr>
    </w:div>
    <w:div w:id="313990783">
      <w:marLeft w:val="0"/>
      <w:marRight w:val="0"/>
      <w:marTop w:val="0"/>
      <w:marBottom w:val="0"/>
      <w:divBdr>
        <w:top w:val="none" w:sz="0" w:space="0" w:color="auto"/>
        <w:left w:val="none" w:sz="0" w:space="0" w:color="auto"/>
        <w:bottom w:val="none" w:sz="0" w:space="0" w:color="auto"/>
        <w:right w:val="none" w:sz="0" w:space="0" w:color="auto"/>
      </w:divBdr>
    </w:div>
    <w:div w:id="313990784">
      <w:marLeft w:val="0"/>
      <w:marRight w:val="0"/>
      <w:marTop w:val="0"/>
      <w:marBottom w:val="0"/>
      <w:divBdr>
        <w:top w:val="none" w:sz="0" w:space="0" w:color="auto"/>
        <w:left w:val="none" w:sz="0" w:space="0" w:color="auto"/>
        <w:bottom w:val="none" w:sz="0" w:space="0" w:color="auto"/>
        <w:right w:val="none" w:sz="0" w:space="0" w:color="auto"/>
      </w:divBdr>
    </w:div>
    <w:div w:id="313990785">
      <w:marLeft w:val="0"/>
      <w:marRight w:val="0"/>
      <w:marTop w:val="0"/>
      <w:marBottom w:val="0"/>
      <w:divBdr>
        <w:top w:val="none" w:sz="0" w:space="0" w:color="auto"/>
        <w:left w:val="none" w:sz="0" w:space="0" w:color="auto"/>
        <w:bottom w:val="none" w:sz="0" w:space="0" w:color="auto"/>
        <w:right w:val="none" w:sz="0" w:space="0" w:color="auto"/>
      </w:divBdr>
    </w:div>
    <w:div w:id="313990786">
      <w:marLeft w:val="0"/>
      <w:marRight w:val="0"/>
      <w:marTop w:val="0"/>
      <w:marBottom w:val="0"/>
      <w:divBdr>
        <w:top w:val="none" w:sz="0" w:space="0" w:color="auto"/>
        <w:left w:val="none" w:sz="0" w:space="0" w:color="auto"/>
        <w:bottom w:val="none" w:sz="0" w:space="0" w:color="auto"/>
        <w:right w:val="none" w:sz="0" w:space="0" w:color="auto"/>
      </w:divBdr>
    </w:div>
    <w:div w:id="313990787">
      <w:marLeft w:val="0"/>
      <w:marRight w:val="0"/>
      <w:marTop w:val="0"/>
      <w:marBottom w:val="0"/>
      <w:divBdr>
        <w:top w:val="none" w:sz="0" w:space="0" w:color="auto"/>
        <w:left w:val="none" w:sz="0" w:space="0" w:color="auto"/>
        <w:bottom w:val="none" w:sz="0" w:space="0" w:color="auto"/>
        <w:right w:val="none" w:sz="0" w:space="0" w:color="auto"/>
      </w:divBdr>
    </w:div>
    <w:div w:id="313990788">
      <w:marLeft w:val="0"/>
      <w:marRight w:val="0"/>
      <w:marTop w:val="0"/>
      <w:marBottom w:val="0"/>
      <w:divBdr>
        <w:top w:val="none" w:sz="0" w:space="0" w:color="auto"/>
        <w:left w:val="none" w:sz="0" w:space="0" w:color="auto"/>
        <w:bottom w:val="none" w:sz="0" w:space="0" w:color="auto"/>
        <w:right w:val="none" w:sz="0" w:space="0" w:color="auto"/>
      </w:divBdr>
    </w:div>
    <w:div w:id="313990789">
      <w:marLeft w:val="0"/>
      <w:marRight w:val="0"/>
      <w:marTop w:val="0"/>
      <w:marBottom w:val="0"/>
      <w:divBdr>
        <w:top w:val="none" w:sz="0" w:space="0" w:color="auto"/>
        <w:left w:val="none" w:sz="0" w:space="0" w:color="auto"/>
        <w:bottom w:val="none" w:sz="0" w:space="0" w:color="auto"/>
        <w:right w:val="none" w:sz="0" w:space="0" w:color="auto"/>
      </w:divBdr>
    </w:div>
    <w:div w:id="313990790">
      <w:marLeft w:val="0"/>
      <w:marRight w:val="0"/>
      <w:marTop w:val="0"/>
      <w:marBottom w:val="0"/>
      <w:divBdr>
        <w:top w:val="none" w:sz="0" w:space="0" w:color="auto"/>
        <w:left w:val="none" w:sz="0" w:space="0" w:color="auto"/>
        <w:bottom w:val="none" w:sz="0" w:space="0" w:color="auto"/>
        <w:right w:val="none" w:sz="0" w:space="0" w:color="auto"/>
      </w:divBdr>
    </w:div>
    <w:div w:id="313990791">
      <w:marLeft w:val="0"/>
      <w:marRight w:val="0"/>
      <w:marTop w:val="0"/>
      <w:marBottom w:val="0"/>
      <w:divBdr>
        <w:top w:val="none" w:sz="0" w:space="0" w:color="auto"/>
        <w:left w:val="none" w:sz="0" w:space="0" w:color="auto"/>
        <w:bottom w:val="none" w:sz="0" w:space="0" w:color="auto"/>
        <w:right w:val="none" w:sz="0" w:space="0" w:color="auto"/>
      </w:divBdr>
    </w:div>
    <w:div w:id="542593093">
      <w:bodyDiv w:val="1"/>
      <w:marLeft w:val="0"/>
      <w:marRight w:val="0"/>
      <w:marTop w:val="0"/>
      <w:marBottom w:val="0"/>
      <w:divBdr>
        <w:top w:val="none" w:sz="0" w:space="0" w:color="auto"/>
        <w:left w:val="none" w:sz="0" w:space="0" w:color="auto"/>
        <w:bottom w:val="none" w:sz="0" w:space="0" w:color="auto"/>
        <w:right w:val="none" w:sz="0" w:space="0" w:color="auto"/>
      </w:divBdr>
    </w:div>
    <w:div w:id="766853326">
      <w:bodyDiv w:val="1"/>
      <w:marLeft w:val="0"/>
      <w:marRight w:val="0"/>
      <w:marTop w:val="0"/>
      <w:marBottom w:val="0"/>
      <w:divBdr>
        <w:top w:val="none" w:sz="0" w:space="0" w:color="auto"/>
        <w:left w:val="none" w:sz="0" w:space="0" w:color="auto"/>
        <w:bottom w:val="none" w:sz="0" w:space="0" w:color="auto"/>
        <w:right w:val="none" w:sz="0" w:space="0" w:color="auto"/>
      </w:divBdr>
    </w:div>
    <w:div w:id="863247562">
      <w:bodyDiv w:val="1"/>
      <w:marLeft w:val="0"/>
      <w:marRight w:val="0"/>
      <w:marTop w:val="0"/>
      <w:marBottom w:val="0"/>
      <w:divBdr>
        <w:top w:val="none" w:sz="0" w:space="0" w:color="auto"/>
        <w:left w:val="none" w:sz="0" w:space="0" w:color="auto"/>
        <w:bottom w:val="none" w:sz="0" w:space="0" w:color="auto"/>
        <w:right w:val="none" w:sz="0" w:space="0" w:color="auto"/>
      </w:divBdr>
      <w:divsChild>
        <w:div w:id="1154104996">
          <w:marLeft w:val="0"/>
          <w:marRight w:val="0"/>
          <w:marTop w:val="0"/>
          <w:marBottom w:val="0"/>
          <w:divBdr>
            <w:top w:val="none" w:sz="0" w:space="0" w:color="auto"/>
            <w:left w:val="none" w:sz="0" w:space="0" w:color="auto"/>
            <w:bottom w:val="none" w:sz="0" w:space="0" w:color="auto"/>
            <w:right w:val="none" w:sz="0" w:space="0" w:color="auto"/>
          </w:divBdr>
          <w:divsChild>
            <w:div w:id="248930326">
              <w:marLeft w:val="0"/>
              <w:marRight w:val="0"/>
              <w:marTop w:val="0"/>
              <w:marBottom w:val="0"/>
              <w:divBdr>
                <w:top w:val="none" w:sz="0" w:space="0" w:color="auto"/>
                <w:left w:val="none" w:sz="0" w:space="0" w:color="auto"/>
                <w:bottom w:val="none" w:sz="0" w:space="0" w:color="auto"/>
                <w:right w:val="none" w:sz="0" w:space="0" w:color="auto"/>
              </w:divBdr>
              <w:divsChild>
                <w:div w:id="5353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9505">
          <w:marLeft w:val="0"/>
          <w:marRight w:val="0"/>
          <w:marTop w:val="0"/>
          <w:marBottom w:val="0"/>
          <w:divBdr>
            <w:top w:val="none" w:sz="0" w:space="0" w:color="auto"/>
            <w:left w:val="none" w:sz="0" w:space="0" w:color="auto"/>
            <w:bottom w:val="none" w:sz="0" w:space="0" w:color="auto"/>
            <w:right w:val="none" w:sz="0" w:space="0" w:color="auto"/>
          </w:divBdr>
          <w:divsChild>
            <w:div w:id="111667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71349">
      <w:bodyDiv w:val="1"/>
      <w:marLeft w:val="0"/>
      <w:marRight w:val="0"/>
      <w:marTop w:val="0"/>
      <w:marBottom w:val="0"/>
      <w:divBdr>
        <w:top w:val="none" w:sz="0" w:space="0" w:color="auto"/>
        <w:left w:val="none" w:sz="0" w:space="0" w:color="auto"/>
        <w:bottom w:val="none" w:sz="0" w:space="0" w:color="auto"/>
        <w:right w:val="none" w:sz="0" w:space="0" w:color="auto"/>
      </w:divBdr>
    </w:div>
    <w:div w:id="1085416695">
      <w:bodyDiv w:val="1"/>
      <w:marLeft w:val="0"/>
      <w:marRight w:val="0"/>
      <w:marTop w:val="0"/>
      <w:marBottom w:val="0"/>
      <w:divBdr>
        <w:top w:val="none" w:sz="0" w:space="0" w:color="auto"/>
        <w:left w:val="none" w:sz="0" w:space="0" w:color="auto"/>
        <w:bottom w:val="none" w:sz="0" w:space="0" w:color="auto"/>
        <w:right w:val="none" w:sz="0" w:space="0" w:color="auto"/>
      </w:divBdr>
      <w:divsChild>
        <w:div w:id="1469781689">
          <w:marLeft w:val="0"/>
          <w:marRight w:val="0"/>
          <w:marTop w:val="0"/>
          <w:marBottom w:val="0"/>
          <w:divBdr>
            <w:top w:val="none" w:sz="0" w:space="0" w:color="auto"/>
            <w:left w:val="none" w:sz="0" w:space="0" w:color="auto"/>
            <w:bottom w:val="none" w:sz="0" w:space="0" w:color="auto"/>
            <w:right w:val="none" w:sz="0" w:space="0" w:color="auto"/>
          </w:divBdr>
          <w:divsChild>
            <w:div w:id="711921957">
              <w:marLeft w:val="0"/>
              <w:marRight w:val="0"/>
              <w:marTop w:val="0"/>
              <w:marBottom w:val="0"/>
              <w:divBdr>
                <w:top w:val="none" w:sz="0" w:space="0" w:color="auto"/>
                <w:left w:val="none" w:sz="0" w:space="0" w:color="auto"/>
                <w:bottom w:val="none" w:sz="0" w:space="0" w:color="auto"/>
                <w:right w:val="none" w:sz="0" w:space="0" w:color="auto"/>
              </w:divBdr>
              <w:divsChild>
                <w:div w:id="9532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9670">
          <w:marLeft w:val="0"/>
          <w:marRight w:val="0"/>
          <w:marTop w:val="0"/>
          <w:marBottom w:val="0"/>
          <w:divBdr>
            <w:top w:val="none" w:sz="0" w:space="0" w:color="auto"/>
            <w:left w:val="none" w:sz="0" w:space="0" w:color="auto"/>
            <w:bottom w:val="none" w:sz="0" w:space="0" w:color="auto"/>
            <w:right w:val="none" w:sz="0" w:space="0" w:color="auto"/>
          </w:divBdr>
          <w:divsChild>
            <w:div w:id="1163665010">
              <w:marLeft w:val="0"/>
              <w:marRight w:val="0"/>
              <w:marTop w:val="0"/>
              <w:marBottom w:val="0"/>
              <w:divBdr>
                <w:top w:val="none" w:sz="0" w:space="0" w:color="auto"/>
                <w:left w:val="none" w:sz="0" w:space="0" w:color="auto"/>
                <w:bottom w:val="none" w:sz="0" w:space="0" w:color="auto"/>
                <w:right w:val="none" w:sz="0" w:space="0" w:color="auto"/>
              </w:divBdr>
            </w:div>
            <w:div w:id="38078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26828">
      <w:bodyDiv w:val="1"/>
      <w:marLeft w:val="0"/>
      <w:marRight w:val="0"/>
      <w:marTop w:val="0"/>
      <w:marBottom w:val="0"/>
      <w:divBdr>
        <w:top w:val="none" w:sz="0" w:space="0" w:color="auto"/>
        <w:left w:val="none" w:sz="0" w:space="0" w:color="auto"/>
        <w:bottom w:val="none" w:sz="0" w:space="0" w:color="auto"/>
        <w:right w:val="none" w:sz="0" w:space="0" w:color="auto"/>
      </w:divBdr>
    </w:div>
    <w:div w:id="1301620059">
      <w:bodyDiv w:val="1"/>
      <w:marLeft w:val="0"/>
      <w:marRight w:val="0"/>
      <w:marTop w:val="0"/>
      <w:marBottom w:val="0"/>
      <w:divBdr>
        <w:top w:val="none" w:sz="0" w:space="0" w:color="auto"/>
        <w:left w:val="none" w:sz="0" w:space="0" w:color="auto"/>
        <w:bottom w:val="none" w:sz="0" w:space="0" w:color="auto"/>
        <w:right w:val="none" w:sz="0" w:space="0" w:color="auto"/>
      </w:divBdr>
    </w:div>
    <w:div w:id="1305887015">
      <w:bodyDiv w:val="1"/>
      <w:marLeft w:val="0"/>
      <w:marRight w:val="0"/>
      <w:marTop w:val="0"/>
      <w:marBottom w:val="0"/>
      <w:divBdr>
        <w:top w:val="none" w:sz="0" w:space="0" w:color="auto"/>
        <w:left w:val="none" w:sz="0" w:space="0" w:color="auto"/>
        <w:bottom w:val="none" w:sz="0" w:space="0" w:color="auto"/>
        <w:right w:val="none" w:sz="0" w:space="0" w:color="auto"/>
      </w:divBdr>
      <w:divsChild>
        <w:div w:id="984972350">
          <w:marLeft w:val="0"/>
          <w:marRight w:val="0"/>
          <w:marTop w:val="0"/>
          <w:marBottom w:val="0"/>
          <w:divBdr>
            <w:top w:val="none" w:sz="0" w:space="0" w:color="auto"/>
            <w:left w:val="none" w:sz="0" w:space="0" w:color="auto"/>
            <w:bottom w:val="none" w:sz="0" w:space="0" w:color="auto"/>
            <w:right w:val="none" w:sz="0" w:space="0" w:color="auto"/>
          </w:divBdr>
          <w:divsChild>
            <w:div w:id="1886675793">
              <w:marLeft w:val="0"/>
              <w:marRight w:val="0"/>
              <w:marTop w:val="0"/>
              <w:marBottom w:val="0"/>
              <w:divBdr>
                <w:top w:val="none" w:sz="0" w:space="0" w:color="auto"/>
                <w:left w:val="none" w:sz="0" w:space="0" w:color="auto"/>
                <w:bottom w:val="none" w:sz="0" w:space="0" w:color="auto"/>
                <w:right w:val="none" w:sz="0" w:space="0" w:color="auto"/>
              </w:divBdr>
              <w:divsChild>
                <w:div w:id="10789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19568">
          <w:marLeft w:val="0"/>
          <w:marRight w:val="0"/>
          <w:marTop w:val="0"/>
          <w:marBottom w:val="0"/>
          <w:divBdr>
            <w:top w:val="none" w:sz="0" w:space="0" w:color="auto"/>
            <w:left w:val="none" w:sz="0" w:space="0" w:color="auto"/>
            <w:bottom w:val="none" w:sz="0" w:space="0" w:color="auto"/>
            <w:right w:val="none" w:sz="0" w:space="0" w:color="auto"/>
          </w:divBdr>
          <w:divsChild>
            <w:div w:id="1983192032">
              <w:marLeft w:val="0"/>
              <w:marRight w:val="0"/>
              <w:marTop w:val="0"/>
              <w:marBottom w:val="0"/>
              <w:divBdr>
                <w:top w:val="none" w:sz="0" w:space="0" w:color="auto"/>
                <w:left w:val="none" w:sz="0" w:space="0" w:color="auto"/>
                <w:bottom w:val="none" w:sz="0" w:space="0" w:color="auto"/>
                <w:right w:val="none" w:sz="0" w:space="0" w:color="auto"/>
              </w:divBdr>
            </w:div>
            <w:div w:id="1975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6004">
      <w:bodyDiv w:val="1"/>
      <w:marLeft w:val="0"/>
      <w:marRight w:val="0"/>
      <w:marTop w:val="0"/>
      <w:marBottom w:val="0"/>
      <w:divBdr>
        <w:top w:val="none" w:sz="0" w:space="0" w:color="auto"/>
        <w:left w:val="none" w:sz="0" w:space="0" w:color="auto"/>
        <w:bottom w:val="none" w:sz="0" w:space="0" w:color="auto"/>
        <w:right w:val="none" w:sz="0" w:space="0" w:color="auto"/>
      </w:divBdr>
    </w:div>
    <w:div w:id="1411581202">
      <w:bodyDiv w:val="1"/>
      <w:marLeft w:val="0"/>
      <w:marRight w:val="0"/>
      <w:marTop w:val="0"/>
      <w:marBottom w:val="0"/>
      <w:divBdr>
        <w:top w:val="none" w:sz="0" w:space="0" w:color="auto"/>
        <w:left w:val="none" w:sz="0" w:space="0" w:color="auto"/>
        <w:bottom w:val="none" w:sz="0" w:space="0" w:color="auto"/>
        <w:right w:val="none" w:sz="0" w:space="0" w:color="auto"/>
      </w:divBdr>
      <w:divsChild>
        <w:div w:id="2032997166">
          <w:marLeft w:val="0"/>
          <w:marRight w:val="0"/>
          <w:marTop w:val="0"/>
          <w:marBottom w:val="0"/>
          <w:divBdr>
            <w:top w:val="none" w:sz="0" w:space="0" w:color="auto"/>
            <w:left w:val="none" w:sz="0" w:space="0" w:color="auto"/>
            <w:bottom w:val="none" w:sz="0" w:space="0" w:color="auto"/>
            <w:right w:val="none" w:sz="0" w:space="0" w:color="auto"/>
          </w:divBdr>
          <w:divsChild>
            <w:div w:id="769200019">
              <w:marLeft w:val="0"/>
              <w:marRight w:val="0"/>
              <w:marTop w:val="0"/>
              <w:marBottom w:val="0"/>
              <w:divBdr>
                <w:top w:val="none" w:sz="0" w:space="0" w:color="auto"/>
                <w:left w:val="none" w:sz="0" w:space="0" w:color="auto"/>
                <w:bottom w:val="none" w:sz="0" w:space="0" w:color="auto"/>
                <w:right w:val="none" w:sz="0" w:space="0" w:color="auto"/>
              </w:divBdr>
              <w:divsChild>
                <w:div w:id="27610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50248">
          <w:marLeft w:val="0"/>
          <w:marRight w:val="0"/>
          <w:marTop w:val="0"/>
          <w:marBottom w:val="0"/>
          <w:divBdr>
            <w:top w:val="none" w:sz="0" w:space="0" w:color="auto"/>
            <w:left w:val="none" w:sz="0" w:space="0" w:color="auto"/>
            <w:bottom w:val="none" w:sz="0" w:space="0" w:color="auto"/>
            <w:right w:val="none" w:sz="0" w:space="0" w:color="auto"/>
          </w:divBdr>
          <w:divsChild>
            <w:div w:id="1642540991">
              <w:marLeft w:val="0"/>
              <w:marRight w:val="0"/>
              <w:marTop w:val="0"/>
              <w:marBottom w:val="0"/>
              <w:divBdr>
                <w:top w:val="none" w:sz="0" w:space="0" w:color="auto"/>
                <w:left w:val="none" w:sz="0" w:space="0" w:color="auto"/>
                <w:bottom w:val="none" w:sz="0" w:space="0" w:color="auto"/>
                <w:right w:val="none" w:sz="0" w:space="0" w:color="auto"/>
              </w:divBdr>
            </w:div>
            <w:div w:id="10749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24988">
      <w:bodyDiv w:val="1"/>
      <w:marLeft w:val="0"/>
      <w:marRight w:val="0"/>
      <w:marTop w:val="0"/>
      <w:marBottom w:val="0"/>
      <w:divBdr>
        <w:top w:val="none" w:sz="0" w:space="0" w:color="auto"/>
        <w:left w:val="none" w:sz="0" w:space="0" w:color="auto"/>
        <w:bottom w:val="none" w:sz="0" w:space="0" w:color="auto"/>
        <w:right w:val="none" w:sz="0" w:space="0" w:color="auto"/>
      </w:divBdr>
      <w:divsChild>
        <w:div w:id="682588748">
          <w:marLeft w:val="0"/>
          <w:marRight w:val="0"/>
          <w:marTop w:val="0"/>
          <w:marBottom w:val="0"/>
          <w:divBdr>
            <w:top w:val="none" w:sz="0" w:space="0" w:color="auto"/>
            <w:left w:val="none" w:sz="0" w:space="0" w:color="auto"/>
            <w:bottom w:val="none" w:sz="0" w:space="0" w:color="auto"/>
            <w:right w:val="none" w:sz="0" w:space="0" w:color="auto"/>
          </w:divBdr>
          <w:divsChild>
            <w:div w:id="2105764172">
              <w:marLeft w:val="0"/>
              <w:marRight w:val="0"/>
              <w:marTop w:val="0"/>
              <w:marBottom w:val="0"/>
              <w:divBdr>
                <w:top w:val="none" w:sz="0" w:space="0" w:color="auto"/>
                <w:left w:val="none" w:sz="0" w:space="0" w:color="auto"/>
                <w:bottom w:val="none" w:sz="0" w:space="0" w:color="auto"/>
                <w:right w:val="none" w:sz="0" w:space="0" w:color="auto"/>
              </w:divBdr>
              <w:divsChild>
                <w:div w:id="3922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7158">
          <w:marLeft w:val="0"/>
          <w:marRight w:val="0"/>
          <w:marTop w:val="0"/>
          <w:marBottom w:val="0"/>
          <w:divBdr>
            <w:top w:val="none" w:sz="0" w:space="0" w:color="auto"/>
            <w:left w:val="none" w:sz="0" w:space="0" w:color="auto"/>
            <w:bottom w:val="none" w:sz="0" w:space="0" w:color="auto"/>
            <w:right w:val="none" w:sz="0" w:space="0" w:color="auto"/>
          </w:divBdr>
          <w:divsChild>
            <w:div w:id="1448424824">
              <w:marLeft w:val="0"/>
              <w:marRight w:val="0"/>
              <w:marTop w:val="0"/>
              <w:marBottom w:val="0"/>
              <w:divBdr>
                <w:top w:val="none" w:sz="0" w:space="0" w:color="auto"/>
                <w:left w:val="none" w:sz="0" w:space="0" w:color="auto"/>
                <w:bottom w:val="none" w:sz="0" w:space="0" w:color="auto"/>
                <w:right w:val="none" w:sz="0" w:space="0" w:color="auto"/>
              </w:divBdr>
            </w:div>
            <w:div w:id="166280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4389">
      <w:bodyDiv w:val="1"/>
      <w:marLeft w:val="0"/>
      <w:marRight w:val="0"/>
      <w:marTop w:val="0"/>
      <w:marBottom w:val="0"/>
      <w:divBdr>
        <w:top w:val="none" w:sz="0" w:space="0" w:color="auto"/>
        <w:left w:val="none" w:sz="0" w:space="0" w:color="auto"/>
        <w:bottom w:val="none" w:sz="0" w:space="0" w:color="auto"/>
        <w:right w:val="none" w:sz="0" w:space="0" w:color="auto"/>
      </w:divBdr>
    </w:div>
    <w:div w:id="1730305225">
      <w:bodyDiv w:val="1"/>
      <w:marLeft w:val="0"/>
      <w:marRight w:val="0"/>
      <w:marTop w:val="0"/>
      <w:marBottom w:val="0"/>
      <w:divBdr>
        <w:top w:val="none" w:sz="0" w:space="0" w:color="auto"/>
        <w:left w:val="none" w:sz="0" w:space="0" w:color="auto"/>
        <w:bottom w:val="none" w:sz="0" w:space="0" w:color="auto"/>
        <w:right w:val="none" w:sz="0" w:space="0" w:color="auto"/>
      </w:divBdr>
      <w:divsChild>
        <w:div w:id="180169432">
          <w:marLeft w:val="0"/>
          <w:marRight w:val="0"/>
          <w:marTop w:val="0"/>
          <w:marBottom w:val="0"/>
          <w:divBdr>
            <w:top w:val="none" w:sz="0" w:space="0" w:color="auto"/>
            <w:left w:val="none" w:sz="0" w:space="0" w:color="auto"/>
            <w:bottom w:val="none" w:sz="0" w:space="0" w:color="auto"/>
            <w:right w:val="none" w:sz="0" w:space="0" w:color="auto"/>
          </w:divBdr>
          <w:divsChild>
            <w:div w:id="57896871">
              <w:marLeft w:val="0"/>
              <w:marRight w:val="0"/>
              <w:marTop w:val="0"/>
              <w:marBottom w:val="0"/>
              <w:divBdr>
                <w:top w:val="none" w:sz="0" w:space="0" w:color="auto"/>
                <w:left w:val="none" w:sz="0" w:space="0" w:color="auto"/>
                <w:bottom w:val="none" w:sz="0" w:space="0" w:color="auto"/>
                <w:right w:val="none" w:sz="0" w:space="0" w:color="auto"/>
              </w:divBdr>
              <w:divsChild>
                <w:div w:id="200030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23931">
          <w:marLeft w:val="0"/>
          <w:marRight w:val="0"/>
          <w:marTop w:val="0"/>
          <w:marBottom w:val="0"/>
          <w:divBdr>
            <w:top w:val="none" w:sz="0" w:space="0" w:color="auto"/>
            <w:left w:val="none" w:sz="0" w:space="0" w:color="auto"/>
            <w:bottom w:val="none" w:sz="0" w:space="0" w:color="auto"/>
            <w:right w:val="none" w:sz="0" w:space="0" w:color="auto"/>
          </w:divBdr>
          <w:divsChild>
            <w:div w:id="11316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865290">
      <w:bodyDiv w:val="1"/>
      <w:marLeft w:val="0"/>
      <w:marRight w:val="0"/>
      <w:marTop w:val="0"/>
      <w:marBottom w:val="0"/>
      <w:divBdr>
        <w:top w:val="none" w:sz="0" w:space="0" w:color="auto"/>
        <w:left w:val="none" w:sz="0" w:space="0" w:color="auto"/>
        <w:bottom w:val="none" w:sz="0" w:space="0" w:color="auto"/>
        <w:right w:val="none" w:sz="0" w:space="0" w:color="auto"/>
      </w:divBdr>
      <w:divsChild>
        <w:div w:id="880285150">
          <w:marLeft w:val="0"/>
          <w:marRight w:val="0"/>
          <w:marTop w:val="0"/>
          <w:marBottom w:val="0"/>
          <w:divBdr>
            <w:top w:val="none" w:sz="0" w:space="0" w:color="auto"/>
            <w:left w:val="none" w:sz="0" w:space="0" w:color="auto"/>
            <w:bottom w:val="none" w:sz="0" w:space="0" w:color="auto"/>
            <w:right w:val="none" w:sz="0" w:space="0" w:color="auto"/>
          </w:divBdr>
          <w:divsChild>
            <w:div w:id="228467752">
              <w:marLeft w:val="0"/>
              <w:marRight w:val="0"/>
              <w:marTop w:val="0"/>
              <w:marBottom w:val="0"/>
              <w:divBdr>
                <w:top w:val="none" w:sz="0" w:space="0" w:color="auto"/>
                <w:left w:val="none" w:sz="0" w:space="0" w:color="auto"/>
                <w:bottom w:val="none" w:sz="0" w:space="0" w:color="auto"/>
                <w:right w:val="none" w:sz="0" w:space="0" w:color="auto"/>
              </w:divBdr>
              <w:divsChild>
                <w:div w:id="130188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7908">
          <w:marLeft w:val="0"/>
          <w:marRight w:val="0"/>
          <w:marTop w:val="0"/>
          <w:marBottom w:val="0"/>
          <w:divBdr>
            <w:top w:val="none" w:sz="0" w:space="0" w:color="auto"/>
            <w:left w:val="none" w:sz="0" w:space="0" w:color="auto"/>
            <w:bottom w:val="none" w:sz="0" w:space="0" w:color="auto"/>
            <w:right w:val="none" w:sz="0" w:space="0" w:color="auto"/>
          </w:divBdr>
          <w:divsChild>
            <w:div w:id="1810592529">
              <w:marLeft w:val="0"/>
              <w:marRight w:val="0"/>
              <w:marTop w:val="0"/>
              <w:marBottom w:val="0"/>
              <w:divBdr>
                <w:top w:val="none" w:sz="0" w:space="0" w:color="auto"/>
                <w:left w:val="none" w:sz="0" w:space="0" w:color="auto"/>
                <w:bottom w:val="none" w:sz="0" w:space="0" w:color="auto"/>
                <w:right w:val="none" w:sz="0" w:space="0" w:color="auto"/>
              </w:divBdr>
            </w:div>
            <w:div w:id="15519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0690">
      <w:bodyDiv w:val="1"/>
      <w:marLeft w:val="0"/>
      <w:marRight w:val="0"/>
      <w:marTop w:val="0"/>
      <w:marBottom w:val="0"/>
      <w:divBdr>
        <w:top w:val="none" w:sz="0" w:space="0" w:color="auto"/>
        <w:left w:val="none" w:sz="0" w:space="0" w:color="auto"/>
        <w:bottom w:val="none" w:sz="0" w:space="0" w:color="auto"/>
        <w:right w:val="none" w:sz="0" w:space="0" w:color="auto"/>
      </w:divBdr>
    </w:div>
    <w:div w:id="207192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portal.stf.jus.br/processos/detalhe.asp?incidente=6912298" TargetMode="External"/><Relationship Id="rId18" Type="http://schemas.openxmlformats.org/officeDocument/2006/relationships/hyperlink" Target="http://portal.stf.jus.br/hotsites/agenda-2030/index.html" TargetMode="External"/><Relationship Id="rId26" Type="http://schemas.openxmlformats.org/officeDocument/2006/relationships/image" Target="media/image2.png"/><Relationship Id="rId39" Type="http://schemas.openxmlformats.org/officeDocument/2006/relationships/hyperlink" Target="https://www.planalto.gov.br/ccivil_03/leis/l5172compilado.htm" TargetMode="External"/><Relationship Id="rId21" Type="http://schemas.openxmlformats.org/officeDocument/2006/relationships/hyperlink" Target="https://portal.stf.jus.br/jurisprudenciaRepercussao/verAndamentoProcesso.asp?incidente=5195318&amp;numeroProcesso=1050597&amp;classeProcesso=RE&amp;numeroTema=1071" TargetMode="External"/><Relationship Id="rId34" Type="http://schemas.openxmlformats.org/officeDocument/2006/relationships/hyperlink" Target="https://portal.stf.jus.br/jurisprudencia/sumariosumulas.asp?base=30&amp;sumula=2201" TargetMode="External"/><Relationship Id="rId42" Type="http://schemas.openxmlformats.org/officeDocument/2006/relationships/hyperlink" Target="https://www.planalto.gov.br/ccivil_03/leis/l8212cons.htm" TargetMode="External"/><Relationship Id="rId47" Type="http://schemas.openxmlformats.org/officeDocument/2006/relationships/hyperlink" Target="https://redir.stf.jus.br/paginadorpub/paginador.jsp?docTP=TP&amp;docID=798244422" TargetMode="External"/><Relationship Id="rId50" Type="http://schemas.openxmlformats.org/officeDocument/2006/relationships/hyperlink" Target="https://redir.stf.jus.br/paginadorpub/paginador.jsp?docTP=TP&amp;docID=765984403" TargetMode="External"/><Relationship Id="rId55" Type="http://schemas.openxmlformats.org/officeDocument/2006/relationships/hyperlink" Target="https://www.stf.jus.br/arquivo/cms/informativoSTF/anexo/Informativo_Dados/Dados_InformativosSTF.xlsx"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rive.google.com/file/d/14RSUwMtdV6ynTcXAOcARnZ2e9eyI2fQh/view?usp=sharing" TargetMode="External"/><Relationship Id="rId29" Type="http://schemas.openxmlformats.org/officeDocument/2006/relationships/hyperlink" Target="http://portal.stf.jus.br/hotsites/agenda-2030/index.html" TargetMode="External"/><Relationship Id="rId11" Type="http://schemas.openxmlformats.org/officeDocument/2006/relationships/hyperlink" Target="https://portal.stf.jus.br/jurisprudenciaRepercussao/verAndamentoProcesso.asp?incidente=5195318&amp;numeroProcesso=1050597&amp;classeProcesso=RE&amp;numeroTema=1071" TargetMode="External"/><Relationship Id="rId24" Type="http://schemas.openxmlformats.org/officeDocument/2006/relationships/hyperlink" Target="https://portal.stf.jus.br/processos/detalhe.asp?incidente=5195318" TargetMode="External"/><Relationship Id="rId32" Type="http://schemas.openxmlformats.org/officeDocument/2006/relationships/hyperlink" Target="https://portal.stf.jus.br/jurisprudencia/sumariosumulas.asp?base=30&amp;sumula=2194" TargetMode="External"/><Relationship Id="rId37" Type="http://schemas.openxmlformats.org/officeDocument/2006/relationships/hyperlink" Target="https://www.planalto.gov.br/ccivil_03/leis/l5172compilado.htm" TargetMode="External"/><Relationship Id="rId40" Type="http://schemas.openxmlformats.org/officeDocument/2006/relationships/hyperlink" Target="https://www.planalto.gov.br/ccivil_03/leis/l6830.htm" TargetMode="External"/><Relationship Id="rId45" Type="http://schemas.openxmlformats.org/officeDocument/2006/relationships/hyperlink" Target="https://drive.google.com/file/d/1uLHWCG0Gva8hJFiE6ZnJBfQGqQiG_wRA/view?usp=sharing" TargetMode="External"/><Relationship Id="rId53" Type="http://schemas.openxmlformats.org/officeDocument/2006/relationships/hyperlink" Target="https://api-atosnormativosprd.azurewebsites.net/api/normativo/apresentacao/2941" TargetMode="External"/><Relationship Id="rId58" Type="http://schemas.openxmlformats.org/officeDocument/2006/relationships/hyperlink" Target="mailto:codi@stf.jus.br?subject=Informativo%20STF" TargetMode="Externa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hyperlink" Target="http://portal.stf.jus.br/hotsites/agenda-2030/index.html" TargetMode="External"/><Relationship Id="rId14" Type="http://schemas.openxmlformats.org/officeDocument/2006/relationships/hyperlink" Target="https://portal.stf.jus.br/processos/detalhe.asp?incidente=5195318" TargetMode="External"/><Relationship Id="rId22" Type="http://schemas.openxmlformats.org/officeDocument/2006/relationships/hyperlink" Target="https://www.planalto.gov.br/ccivil_03/constituicao/constituicaocompilado.htm" TargetMode="External"/><Relationship Id="rId27" Type="http://schemas.openxmlformats.org/officeDocument/2006/relationships/hyperlink" Target="https://portal.stf.jus.br/processos/detalhe.asp?incidente=4629263" TargetMode="External"/><Relationship Id="rId30" Type="http://schemas.openxmlformats.org/officeDocument/2006/relationships/hyperlink" Target="https://www.planalto.gov.br/ccivil_03/leis/l4357.htm" TargetMode="External"/><Relationship Id="rId35" Type="http://schemas.openxmlformats.org/officeDocument/2006/relationships/hyperlink" Target="https://www.planalto.gov.br/ccivil_03/leis/l5172compilado.htm" TargetMode="External"/><Relationship Id="rId43" Type="http://schemas.openxmlformats.org/officeDocument/2006/relationships/hyperlink" Target="https://www.youtube.com/live/zY-QvdLJ_Hw?t=11548s" TargetMode="External"/><Relationship Id="rId48" Type="http://schemas.openxmlformats.org/officeDocument/2006/relationships/hyperlink" Target="https://portal.stf.jus.br/jurisprudenciaRepercussao/verAndamentoProcesso.asp?incidente=4054666&amp;numeroProcesso=638115&amp;classeProcesso=RE&amp;numeroTema=395" TargetMode="External"/><Relationship Id="rId56" Type="http://schemas.openxmlformats.org/officeDocument/2006/relationships/hyperlink" Target="https://portal.stf.jus.br/textos/verTexto.asp?servico=codi&amp;pagina=Plenario_Virtual" TargetMode="External"/><Relationship Id="rId8" Type="http://schemas.openxmlformats.org/officeDocument/2006/relationships/hyperlink" Target="https://portal.issn.org/resource/ISSN/2675-8210" TargetMode="External"/><Relationship Id="rId51" Type="http://schemas.openxmlformats.org/officeDocument/2006/relationships/hyperlink" Target="https://www.youtube.com/live/ZiEeWfcoV4o?t=112s" TargetMode="External"/><Relationship Id="rId3" Type="http://schemas.openxmlformats.org/officeDocument/2006/relationships/styles" Target="styles.xml"/><Relationship Id="rId12" Type="http://schemas.openxmlformats.org/officeDocument/2006/relationships/hyperlink" Target="https://portal.stf.jus.br/processos/detalhe.asp?incidente=4629263" TargetMode="External"/><Relationship Id="rId17" Type="http://schemas.openxmlformats.org/officeDocument/2006/relationships/image" Target="media/image1.png"/><Relationship Id="rId25" Type="http://schemas.openxmlformats.org/officeDocument/2006/relationships/hyperlink" Target="https://www.youtube.com/live/zY-QvdLJ_Hw?si=XBHJ8mHe5-FBeEgx&amp;t=901" TargetMode="External"/><Relationship Id="rId33" Type="http://schemas.openxmlformats.org/officeDocument/2006/relationships/hyperlink" Target="https://portal.stf.jus.br/jurisprudencia/sumariosumulas.asp?base=30&amp;sumula=2136" TargetMode="External"/><Relationship Id="rId38" Type="http://schemas.openxmlformats.org/officeDocument/2006/relationships/hyperlink" Target="https://processo.stj.jus.br/SCON/sumstj/toc.jsp?livre=sumula%20e%20%27436%27.num." TargetMode="External"/><Relationship Id="rId46" Type="http://schemas.openxmlformats.org/officeDocument/2006/relationships/image" Target="media/image3.png"/><Relationship Id="rId59" Type="http://schemas.openxmlformats.org/officeDocument/2006/relationships/header" Target="header1.xml"/><Relationship Id="rId20" Type="http://schemas.openxmlformats.org/officeDocument/2006/relationships/hyperlink" Target="http://portal.stf.jus.br/hotsites/agenda-2030/index.html" TargetMode="External"/><Relationship Id="rId41" Type="http://schemas.openxmlformats.org/officeDocument/2006/relationships/hyperlink" Target="https://www.planalto.gov.br/ccivil_03/leis/l4357.htm" TargetMode="External"/><Relationship Id="rId54" Type="http://schemas.openxmlformats.org/officeDocument/2006/relationships/hyperlink" Target="https://atosnormativos.stf.jus.br/visualizador/uEXxDKEBUnTwO_PpFEMz"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rtal.stf.jus.br/jurisprudenciaRepercussao/verAndamentoProcesso.asp?incidente=5195318&amp;numeroProcesso=1050597&amp;classeProcesso=RE&amp;numeroTema=1071" TargetMode="External"/><Relationship Id="rId23" Type="http://schemas.openxmlformats.org/officeDocument/2006/relationships/hyperlink" Target="https://www.planalto.gov.br/ccivil_03/_ato2011-2014/2012/lei/l12618.htm" TargetMode="External"/><Relationship Id="rId28" Type="http://schemas.openxmlformats.org/officeDocument/2006/relationships/hyperlink" Target="https://drive.google.com/file/d/1OfvLPd_o9YFy-viEcuckp6UnC8CPDdFO/view?usp=sharing" TargetMode="External"/><Relationship Id="rId36" Type="http://schemas.openxmlformats.org/officeDocument/2006/relationships/hyperlink" Target="https://www.in.gov.br/en/web/dou/-/instrucao-normativa-rfb-n-2.110-de-17-de-outubro-de-2022-437619362" TargetMode="External"/><Relationship Id="rId49" Type="http://schemas.openxmlformats.org/officeDocument/2006/relationships/hyperlink" Target="https://redir.stf.jus.br/paginadorpub/paginador.jsp?docTP=TP&amp;docID=759478692" TargetMode="External"/><Relationship Id="rId57" Type="http://schemas.openxmlformats.org/officeDocument/2006/relationships/image" Target="media/image4.png"/><Relationship Id="rId10" Type="http://schemas.openxmlformats.org/officeDocument/2006/relationships/hyperlink" Target="https://portal.stf.jus.br/processos/detalhe.asp?incidente=5195318" TargetMode="External"/><Relationship Id="rId31" Type="http://schemas.openxmlformats.org/officeDocument/2006/relationships/hyperlink" Target="https://www.planalto.gov.br/ccivil_03/leis/l8212cons.htm" TargetMode="External"/><Relationship Id="rId44" Type="http://schemas.openxmlformats.org/officeDocument/2006/relationships/hyperlink" Target="https://portal.stf.jus.br/processos/detalhe.asp?incidente=6912298" TargetMode="External"/><Relationship Id="rId52" Type="http://schemas.openxmlformats.org/officeDocument/2006/relationships/hyperlink" Target="https://atosnormativos.stf.jus.br/visualizador/A0WGEqEBUnTwO_Pp0USl"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ortal.stf.jus.br/textos/verTexto.asp?servico=informativoST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14A5F-5093-4D1B-BB5D-13EBE7E52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8</Pages>
  <Words>2712</Words>
  <Characters>21180</Characters>
  <Application>Microsoft Office Word</Application>
  <DocSecurity>0</DocSecurity>
  <Lines>399</Lines>
  <Paragraphs>131</Paragraphs>
  <ScaleCrop>false</ScaleCrop>
  <HeadingPairs>
    <vt:vector size="2" baseType="variant">
      <vt:variant>
        <vt:lpstr>Título</vt:lpstr>
      </vt:variant>
      <vt:variant>
        <vt:i4>1</vt:i4>
      </vt:variant>
    </vt:vector>
  </HeadingPairs>
  <TitlesOfParts>
    <vt:vector size="1" baseType="lpstr">
      <vt:lpstr>Brasília, 8 a 12 de novembro de outubro de 2004 Nº 369</vt:lpstr>
    </vt:vector>
  </TitlesOfParts>
  <Company>stf</Company>
  <LinksUpToDate>false</LinksUpToDate>
  <CharactersWithSpaces>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Brasília, 8 a 12 de novembro de outubro de 2004 Nº 369</dc:title>
  <dc:subject/>
  <dc:creator>STF</dc:creator>
  <cp:keywords/>
  <dc:description/>
  <cp:lastModifiedBy>Anna Daniela de Araujo Martins dos Santos</cp:lastModifiedBy>
  <cp:revision>21</cp:revision>
  <cp:lastPrinted>2016-10-21T18:20:00Z</cp:lastPrinted>
  <dcterms:created xsi:type="dcterms:W3CDTF">2026-10-06T18:51:00Z</dcterms:created>
  <dcterms:modified xsi:type="dcterms:W3CDTF">2026-10-13T14:58:00Z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1870546811</vt:i4>
  </property>
</Properties>
</file>